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5106" w:leader="none"/>
          <w:tab w:val="left" w:pos="7254" w:leader="none"/>
        </w:tabs>
        <w:jc w:val="both"/>
        <w:rPr>
          <w:rFonts w:ascii="Arial" w:hAnsi="Arial" w:cs="Arial"/>
          <w:b/>
          <w:sz w:val="22"/>
          <w:u w:val="single"/>
        </w:rPr>
      </w:pPr>
      <w:r>
        <w:rPr>
          <w:rFonts w:cs="Arial" w:ascii="Arial" w:hAnsi="Arial"/>
          <w:b/>
          <w:sz w:val="22"/>
          <w:u w:val="single"/>
        </w:rPr>
        <w:t>Non-Raid, No-Hire, Non-Solicitation Provisions</w:t>
      </w:r>
    </w:p>
    <w:p>
      <w:pPr>
        <w:pStyle w:val="Normal"/>
        <w:tabs>
          <w:tab w:val="left" w:pos="720" w:leader="none"/>
          <w:tab w:val="left" w:pos="1440" w:leader="none"/>
          <w:tab w:val="left" w:pos="5106" w:leader="none"/>
          <w:tab w:val="left" w:pos="7254" w:leader="none"/>
        </w:tabs>
        <w:jc w:val="both"/>
        <w:rPr>
          <w:rFonts w:ascii="Arial" w:hAnsi="Arial" w:cs="Arial"/>
          <w:b/>
          <w:sz w:val="22"/>
          <w:u w:val="single"/>
        </w:rPr>
      </w:pPr>
      <w:r>
        <w:rPr>
          <w:rFonts w:cs="Arial" w:ascii="Arial" w:hAnsi="Arial"/>
          <w:b/>
          <w:sz w:val="22"/>
          <w:u w:val="single"/>
        </w:rPr>
      </w:r>
    </w:p>
    <w:p>
      <w:pPr>
        <w:pStyle w:val="Normal"/>
        <w:tabs>
          <w:tab w:val="left" w:pos="720" w:leader="none"/>
          <w:tab w:val="left" w:pos="1080" w:leader="none"/>
          <w:tab w:val="left" w:pos="5106" w:leader="none"/>
          <w:tab w:val="left" w:pos="7254" w:leader="none"/>
        </w:tabs>
        <w:ind w:start="360" w:end="0"/>
        <w:jc w:val="both"/>
        <w:rPr>
          <w:rFonts w:ascii="Arial" w:hAnsi="Arial" w:cs="Arial"/>
          <w:b/>
          <w:sz w:val="22"/>
        </w:rPr>
      </w:pPr>
      <w:r>
        <w:rPr>
          <w:rFonts w:cs="Arial" w:ascii="Arial" w:hAnsi="Arial"/>
          <w:b/>
          <w:sz w:val="22"/>
        </w:rPr>
        <w:t xml:space="preserve">A.  </w:t>
        <w:tab/>
        <w:t>ENA Required Limitations</w:t>
      </w:r>
    </w:p>
    <w:p>
      <w:pPr>
        <w:pStyle w:val="Normal"/>
        <w:tabs>
          <w:tab w:val="clear" w:pos="720"/>
          <w:tab w:val="left" w:pos="5106" w:leader="none"/>
          <w:tab w:val="left" w:pos="7254" w:leader="none"/>
        </w:tabs>
        <w:ind w:hanging="720" w:start="1440" w:end="0"/>
        <w:jc w:val="both"/>
        <w:rPr>
          <w:rFonts w:ascii="Arial" w:hAnsi="Arial" w:cs="Arial"/>
          <w:sz w:val="22"/>
        </w:rPr>
      </w:pPr>
      <w:r>
        <w:rPr>
          <w:rFonts w:cs="Arial" w:ascii="Arial" w:hAnsi="Arial"/>
          <w:sz w:val="22"/>
        </w:rPr>
        <w:t>1.</w:t>
        <w:tab/>
        <w:t>The restriction term should not exceed six months; and</w:t>
      </w:r>
    </w:p>
    <w:p>
      <w:pPr>
        <w:pStyle w:val="Normal"/>
        <w:numPr>
          <w:ilvl w:val="0"/>
          <w:numId w:val="1"/>
        </w:numPr>
        <w:tabs>
          <w:tab w:val="clear" w:pos="720"/>
          <w:tab w:val="left" w:pos="5106" w:leader="none"/>
          <w:tab w:val="left" w:pos="7254" w:leader="none"/>
        </w:tabs>
        <w:jc w:val="both"/>
        <w:rPr>
          <w:rFonts w:ascii="Arial" w:hAnsi="Arial" w:cs="Arial"/>
          <w:sz w:val="22"/>
        </w:rPr>
      </w:pPr>
      <w:r>
        <w:rPr>
          <w:rFonts w:cs="Arial" w:ascii="Arial" w:hAnsi="Arial"/>
          <w:sz w:val="22"/>
        </w:rPr>
        <w:t>The restriction should apply only to ENA and those of its direct subsidiaries that may be involved in the transaction; and</w:t>
      </w:r>
    </w:p>
    <w:p>
      <w:pPr>
        <w:pStyle w:val="Normal"/>
        <w:numPr>
          <w:ilvl w:val="0"/>
          <w:numId w:val="1"/>
        </w:numPr>
        <w:tabs>
          <w:tab w:val="clear" w:pos="720"/>
          <w:tab w:val="left" w:pos="5106" w:leader="none"/>
          <w:tab w:val="left" w:pos="7254" w:leader="none"/>
        </w:tabs>
        <w:jc w:val="both"/>
        <w:rPr>
          <w:rFonts w:ascii="Arial" w:hAnsi="Arial" w:cs="Arial"/>
          <w:sz w:val="22"/>
        </w:rPr>
      </w:pPr>
      <w:r>
        <w:rPr>
          <w:rFonts w:cs="Arial" w:ascii="Arial" w:hAnsi="Arial"/>
          <w:sz w:val="22"/>
        </w:rPr>
        <w:t>The restriction should apply only to those counterparty employees who are identified as a result of the evaluation of the transaction or other similar limitation, e.g., a list of persons who may not be solicited.</w:t>
      </w:r>
    </w:p>
    <w:p>
      <w:pPr>
        <w:pStyle w:val="Normal"/>
        <w:tabs>
          <w:tab w:val="left" w:pos="720" w:leader="none"/>
          <w:tab w:val="left" w:pos="5106" w:leader="none"/>
          <w:tab w:val="left" w:pos="7254" w:leader="none"/>
        </w:tabs>
        <w:ind w:hanging="720" w:start="1440" w:end="0"/>
        <w:jc w:val="both"/>
        <w:rPr>
          <w:rFonts w:ascii="Arial" w:hAnsi="Arial" w:cs="Arial"/>
          <w:sz w:val="22"/>
        </w:rPr>
      </w:pPr>
      <w:r>
        <w:rPr>
          <w:rFonts w:cs="Arial" w:ascii="Arial" w:hAnsi="Arial"/>
          <w:sz w:val="22"/>
        </w:rPr>
      </w:r>
    </w:p>
    <w:p>
      <w:pPr>
        <w:pStyle w:val="Normal"/>
        <w:tabs>
          <w:tab w:val="left" w:pos="720" w:leader="none"/>
          <w:tab w:val="left" w:pos="810" w:leader="none"/>
          <w:tab w:val="left" w:pos="1440" w:leader="none"/>
          <w:tab w:val="left" w:pos="5106" w:leader="none"/>
          <w:tab w:val="left" w:pos="7254" w:leader="none"/>
        </w:tabs>
        <w:ind w:hanging="360" w:start="720" w:end="0"/>
        <w:jc w:val="both"/>
        <w:rPr>
          <w:rFonts w:ascii="Arial" w:hAnsi="Arial" w:cs="Arial"/>
          <w:b/>
          <w:sz w:val="22"/>
        </w:rPr>
      </w:pPr>
      <w:r>
        <w:rPr>
          <w:rFonts w:cs="Arial" w:ascii="Arial" w:hAnsi="Arial"/>
          <w:b/>
          <w:sz w:val="22"/>
        </w:rPr>
        <w:t>B.</w:t>
        <w:tab/>
        <w:t>ENA Required Approvals (*)</w:t>
      </w:r>
    </w:p>
    <w:p>
      <w:pPr>
        <w:pStyle w:val="Normal"/>
        <w:numPr>
          <w:ilvl w:val="0"/>
          <w:numId w:val="2"/>
        </w:numPr>
        <w:tabs>
          <w:tab w:val="clear" w:pos="720"/>
          <w:tab w:val="left" w:pos="-180" w:leader="none"/>
        </w:tabs>
        <w:ind w:hanging="720" w:start="1440" w:end="0"/>
        <w:jc w:val="both"/>
        <w:rPr>
          <w:rFonts w:ascii="Arial" w:hAnsi="Arial" w:cs="Arial"/>
          <w:sz w:val="22"/>
        </w:rPr>
      </w:pPr>
      <w:r>
        <w:rPr>
          <w:rFonts w:cs="Arial" w:ascii="Arial" w:hAnsi="Arial"/>
          <w:sz w:val="22"/>
        </w:rPr>
        <w:t>ENA, Vice President – Corporate Development, Tim Detmering, EB3329, x36973; and</w:t>
      </w:r>
    </w:p>
    <w:p>
      <w:pPr>
        <w:pStyle w:val="Normal"/>
        <w:numPr>
          <w:ilvl w:val="0"/>
          <w:numId w:val="2"/>
        </w:numPr>
        <w:tabs>
          <w:tab w:val="clear" w:pos="720"/>
          <w:tab w:val="left" w:pos="-180" w:leader="none"/>
        </w:tabs>
        <w:ind w:hanging="720" w:start="1440" w:end="0"/>
        <w:jc w:val="both"/>
        <w:rPr>
          <w:rFonts w:ascii="Arial" w:hAnsi="Arial" w:cs="Arial"/>
          <w:sz w:val="22"/>
        </w:rPr>
      </w:pPr>
      <w:r>
        <w:rPr>
          <w:rFonts w:cs="Arial" w:ascii="Arial" w:hAnsi="Arial"/>
          <w:sz w:val="22"/>
        </w:rPr>
        <w:t xml:space="preserve">ENA, Vice President, Assistant General Counsel, Lance Schuler EB3826, x35419 (appointee of General Counsel Mark Haedicke); and </w:t>
      </w:r>
    </w:p>
    <w:p>
      <w:pPr>
        <w:pStyle w:val="Normal"/>
        <w:numPr>
          <w:ilvl w:val="0"/>
          <w:numId w:val="2"/>
        </w:numPr>
        <w:tabs>
          <w:tab w:val="clear" w:pos="720"/>
        </w:tabs>
        <w:ind w:hanging="720" w:start="1440" w:end="0"/>
        <w:jc w:val="both"/>
        <w:rPr>
          <w:rFonts w:ascii="Arial" w:hAnsi="Arial" w:cs="Arial"/>
          <w:sz w:val="22"/>
        </w:rPr>
      </w:pPr>
      <w:r>
        <w:rPr>
          <w:rFonts w:cs="Arial" w:ascii="Arial" w:hAnsi="Arial"/>
          <w:sz w:val="22"/>
        </w:rPr>
        <w:t>Enron Corp., Executive Vice President – Corporate Development, Mark Metts, EB4906, x57711; and</w:t>
      </w:r>
    </w:p>
    <w:p>
      <w:pPr>
        <w:pStyle w:val="Normal"/>
        <w:numPr>
          <w:ilvl w:val="0"/>
          <w:numId w:val="2"/>
        </w:numPr>
        <w:tabs>
          <w:tab w:val="clear" w:pos="720"/>
          <w:tab w:val="left" w:pos="-180" w:leader="none"/>
          <w:tab w:val="left" w:pos="1440" w:leader="none"/>
          <w:tab w:val="left" w:pos="5106" w:leader="none"/>
          <w:tab w:val="left" w:pos="7254" w:leader="none"/>
        </w:tabs>
        <w:ind w:hanging="720" w:start="1440" w:end="0"/>
        <w:jc w:val="both"/>
        <w:rPr>
          <w:rFonts w:ascii="Arial" w:hAnsi="Arial" w:cs="Arial"/>
          <w:sz w:val="22"/>
        </w:rPr>
      </w:pPr>
      <w:r>
        <w:rPr>
          <w:rFonts w:cs="Arial" w:ascii="Arial" w:hAnsi="Arial"/>
          <w:sz w:val="22"/>
        </w:rPr>
        <w:t>Such representatives of any Enron business unit that will be bound by such agreements as have been previously specified by such business unit for approval of the foregoing agreements.</w:t>
      </w:r>
    </w:p>
    <w:p>
      <w:pPr>
        <w:pStyle w:val="Normal"/>
        <w:tabs>
          <w:tab w:val="left" w:pos="720" w:leader="none"/>
          <w:tab w:val="left" w:pos="5106" w:leader="none"/>
          <w:tab w:val="left" w:pos="7254" w:leader="none"/>
        </w:tabs>
        <w:jc w:val="both"/>
        <w:rPr>
          <w:rFonts w:ascii="Arial" w:hAnsi="Arial" w:cs="Arial"/>
          <w:sz w:val="22"/>
        </w:rPr>
      </w:pPr>
      <w:r>
        <w:rPr>
          <w:rFonts w:cs="Arial" w:ascii="Arial" w:hAnsi="Arial"/>
          <w:sz w:val="22"/>
        </w:rPr>
        <w:tab/>
      </w:r>
    </w:p>
    <w:p>
      <w:pPr>
        <w:pStyle w:val="Normal"/>
        <w:tabs>
          <w:tab w:val="left" w:pos="720" w:leader="none"/>
          <w:tab w:val="left" w:pos="5106" w:leader="none"/>
          <w:tab w:val="left" w:pos="7254" w:leader="none"/>
        </w:tabs>
        <w:ind w:start="360" w:end="0"/>
        <w:jc w:val="both"/>
        <w:rPr>
          <w:rFonts w:ascii="Arial" w:hAnsi="Arial" w:cs="Arial"/>
          <w:b/>
          <w:sz w:val="22"/>
        </w:rPr>
      </w:pPr>
      <w:r>
        <w:rPr>
          <w:rFonts w:cs="Arial" w:ascii="Arial" w:hAnsi="Arial"/>
          <w:b/>
          <w:sz w:val="22"/>
        </w:rPr>
        <w:t>C.</w:t>
        <w:tab/>
        <w:t>ENA Required Notifications</w:t>
      </w:r>
    </w:p>
    <w:p>
      <w:pPr>
        <w:pStyle w:val="Normal"/>
        <w:numPr>
          <w:ilvl w:val="0"/>
          <w:numId w:val="3"/>
        </w:numPr>
        <w:tabs>
          <w:tab w:val="left" w:pos="720" w:leader="none"/>
          <w:tab w:val="left" w:pos="5106" w:leader="none"/>
          <w:tab w:val="left" w:pos="7254" w:leader="none"/>
        </w:tabs>
        <w:jc w:val="both"/>
        <w:rPr>
          <w:rFonts w:ascii="Arial" w:hAnsi="Arial" w:cs="Arial"/>
          <w:sz w:val="22"/>
        </w:rPr>
      </w:pPr>
      <w:r>
        <w:rPr>
          <w:rFonts w:cs="Arial" w:ascii="Arial" w:hAnsi="Arial"/>
          <w:sz w:val="22"/>
        </w:rPr>
        <w:t>ENA Legal Department, Kay Young, EB3833, x36794.</w:t>
      </w:r>
    </w:p>
    <w:p>
      <w:pPr>
        <w:pStyle w:val="Normal"/>
        <w:tabs>
          <w:tab w:val="left" w:pos="720" w:leader="none"/>
          <w:tab w:val="left" w:pos="5106" w:leader="none"/>
          <w:tab w:val="left" w:pos="7254" w:leader="none"/>
        </w:tabs>
        <w:jc w:val="both"/>
        <w:rPr>
          <w:rFonts w:ascii="Arial" w:hAnsi="Arial" w:cs="Arial"/>
          <w:sz w:val="22"/>
          <w:u w:val="single"/>
        </w:rPr>
      </w:pPr>
      <w:r>
        <w:rPr>
          <w:rFonts w:cs="Arial" w:ascii="Arial" w:hAnsi="Arial"/>
          <w:sz w:val="22"/>
          <w:u w:val="single"/>
        </w:rPr>
      </w:r>
    </w:p>
    <w:p>
      <w:pPr>
        <w:pStyle w:val="Normal"/>
        <w:tabs>
          <w:tab w:val="left" w:pos="720" w:leader="none"/>
          <w:tab w:val="left" w:pos="5106" w:leader="none"/>
          <w:tab w:val="left" w:pos="7254" w:leader="none"/>
        </w:tabs>
        <w:jc w:val="both"/>
        <w:rPr>
          <w:sz w:val="22"/>
          <w:u w:val="single"/>
        </w:rPr>
      </w:pPr>
      <w:r>
        <w:rPr>
          <w:sz w:val="22"/>
          <w:u w:val="single"/>
        </w:rPr>
      </w:r>
    </w:p>
    <w:p>
      <w:pPr>
        <w:pStyle w:val="Normal"/>
        <w:tabs>
          <w:tab w:val="left" w:pos="720" w:leader="none"/>
          <w:tab w:val="left" w:pos="5106" w:leader="none"/>
          <w:tab w:val="left" w:pos="7254" w:leader="none"/>
        </w:tabs>
        <w:jc w:val="both"/>
        <w:rPr>
          <w:sz w:val="22"/>
          <w:u w:val="single"/>
        </w:rPr>
      </w:pPr>
      <w:r>
        <w:rPr>
          <w:sz w:val="22"/>
          <w:u w:val="single"/>
        </w:rPr>
        <w:t>Example of Non-Solicitation Provision</w:t>
      </w:r>
    </w:p>
    <w:p>
      <w:pPr>
        <w:pStyle w:val="Normal"/>
        <w:tabs>
          <w:tab w:val="left" w:pos="720" w:leader="none"/>
          <w:tab w:val="left" w:pos="5106" w:leader="none"/>
          <w:tab w:val="left" w:pos="7254" w:leader="none"/>
        </w:tabs>
        <w:jc w:val="both"/>
        <w:rPr>
          <w:sz w:val="22"/>
          <w:u w:val="single"/>
        </w:rPr>
      </w:pPr>
      <w:r>
        <w:rPr>
          <w:sz w:val="22"/>
          <w:u w:val="single"/>
        </w:rPr>
      </w:r>
    </w:p>
    <w:p>
      <w:pPr>
        <w:pStyle w:val="Normal"/>
        <w:tabs>
          <w:tab w:val="left" w:pos="720" w:leader="none"/>
          <w:tab w:val="left" w:pos="5106" w:leader="none"/>
          <w:tab w:val="left" w:pos="7254" w:leader="none"/>
        </w:tabs>
        <w:jc w:val="both"/>
        <w:rPr/>
      </w:pPr>
      <w:r>
        <w:rPr>
          <w:sz w:val="22"/>
        </w:rPr>
        <w:t xml:space="preserve">In consideration of the Evaluation Material being furnished to you, you hereby agree that for a period of six months from the date hereof, you will not solicit to employ any of the current employees of the Company with whom you have had contact during your evaluation of the Transaction so long as they are employed by the Company without obtaining the prior written consent of the company; </w:t>
      </w:r>
      <w:r>
        <w:rPr>
          <w:sz w:val="22"/>
          <w:u w:val="single"/>
        </w:rPr>
        <w:t>provided, however</w:t>
      </w:r>
      <w:r>
        <w:rPr>
          <w:sz w:val="22"/>
        </w:rPr>
        <w:t>, that any such solicitation shall not be deemed a breach of this Agreement if (i) the personnel who performed such solicitation have no knowledge of any Evaluation Material and (ii) none of your personnel who have knowledge of any Evaluation Material have actual advance knowledge of any such solicitation.  No breach of this agreement shall be deemed to have occurred if an employee of the Company (a) responds to general solicitations of employment not specifically directed towards employees of the Company (b) directly or indirectly contacts you on his or her own behalf.</w:t>
      </w:r>
    </w:p>
    <w:p>
      <w:pPr>
        <w:pStyle w:val="Normal"/>
        <w:tabs>
          <w:tab w:val="left" w:pos="720" w:leader="none"/>
          <w:tab w:val="left" w:pos="5106" w:leader="none"/>
          <w:tab w:val="left" w:pos="7254" w:leader="none"/>
        </w:tabs>
        <w:jc w:val="both"/>
        <w:rPr>
          <w:sz w:val="22"/>
        </w:rPr>
      </w:pPr>
      <w:r>
        <w:rPr>
          <w:sz w:val="22"/>
        </w:rPr>
      </w:r>
    </w:p>
    <w:p>
      <w:pPr>
        <w:pStyle w:val="Normal"/>
        <w:tabs>
          <w:tab w:val="clear" w:pos="720"/>
          <w:tab w:val="left" w:pos="1440" w:leader="none"/>
          <w:tab w:val="left" w:pos="2160" w:leader="none"/>
          <w:tab w:val="left" w:pos="5106" w:leader="none"/>
          <w:tab w:val="left" w:pos="7254" w:leader="none"/>
        </w:tabs>
        <w:jc w:val="both"/>
        <w:rPr>
          <w:rFonts w:ascii="Arial" w:hAnsi="Arial" w:cs="Arial"/>
          <w:sz w:val="22"/>
        </w:rPr>
      </w:pPr>
      <w:r>
        <w:rPr>
          <w:rFonts w:cs="Arial" w:ascii="Arial" w:hAnsi="Arial"/>
          <w:sz w:val="22"/>
        </w:rPr>
      </w:r>
    </w:p>
    <w:p>
      <w:pPr>
        <w:pStyle w:val="Normal"/>
        <w:tabs>
          <w:tab w:val="clear" w:pos="720"/>
          <w:tab w:val="left" w:pos="1440" w:leader="none"/>
          <w:tab w:val="left" w:pos="2160" w:leader="none"/>
          <w:tab w:val="left" w:pos="5106" w:leader="none"/>
          <w:tab w:val="left" w:pos="7254" w:leader="none"/>
        </w:tabs>
        <w:jc w:val="both"/>
        <w:rPr>
          <w:rFonts w:ascii="Arial" w:hAnsi="Arial" w:cs="Arial"/>
          <w:b/>
          <w:sz w:val="22"/>
        </w:rPr>
      </w:pPr>
      <w:r>
        <w:rPr>
          <w:rFonts w:cs="Arial" w:ascii="Arial" w:hAnsi="Arial"/>
          <w:b/>
          <w:sz w:val="22"/>
        </w:rPr>
        <w:t>* In cases where Enron Corp. seeks to bind itself and/or one or more of its affiliates to any of the foregoing provisions the following approvals must be obtained:</w:t>
      </w:r>
    </w:p>
    <w:p>
      <w:pPr>
        <w:pStyle w:val="Normal"/>
        <w:numPr>
          <w:ilvl w:val="0"/>
          <w:numId w:val="4"/>
        </w:numPr>
        <w:tabs>
          <w:tab w:val="clear" w:pos="720"/>
          <w:tab w:val="left" w:pos="1440" w:leader="none"/>
          <w:tab w:val="left" w:pos="2160" w:leader="none"/>
          <w:tab w:val="left" w:pos="5106" w:leader="none"/>
          <w:tab w:val="left" w:pos="7254" w:leader="none"/>
        </w:tabs>
        <w:jc w:val="both"/>
        <w:rPr>
          <w:rFonts w:ascii="Arial" w:hAnsi="Arial" w:cs="Arial"/>
          <w:b/>
          <w:sz w:val="22"/>
        </w:rPr>
      </w:pPr>
      <w:r>
        <w:rPr>
          <w:rFonts w:cs="Arial" w:ascii="Arial" w:hAnsi="Arial"/>
          <w:b/>
          <w:sz w:val="22"/>
        </w:rPr>
        <w:t xml:space="preserve">One member of the Enron Corp. office of the Chairman (i.e., Ken Lay, Jeff Skilling or Joe Sutton ; and </w:t>
      </w:r>
    </w:p>
    <w:p>
      <w:pPr>
        <w:pStyle w:val="Normal"/>
        <w:tabs>
          <w:tab w:val="clear" w:pos="720"/>
          <w:tab w:val="left" w:pos="1440" w:leader="none"/>
          <w:tab w:val="left" w:pos="2160" w:leader="none"/>
          <w:tab w:val="left" w:pos="5106" w:leader="none"/>
          <w:tab w:val="left" w:pos="7254" w:leader="none"/>
        </w:tabs>
        <w:jc w:val="both"/>
        <w:rPr>
          <w:rFonts w:ascii="Arial" w:hAnsi="Arial" w:cs="Arial"/>
          <w:b/>
          <w:sz w:val="22"/>
        </w:rPr>
      </w:pPr>
      <w:r>
        <w:rPr>
          <w:rFonts w:cs="Arial" w:ascii="Arial" w:hAnsi="Arial"/>
          <w:b/>
          <w:sz w:val="22"/>
        </w:rPr>
      </w:r>
    </w:p>
    <w:p>
      <w:pPr>
        <w:pStyle w:val="Normal"/>
        <w:numPr>
          <w:ilvl w:val="0"/>
          <w:numId w:val="4"/>
        </w:numPr>
        <w:tabs>
          <w:tab w:val="clear" w:pos="720"/>
          <w:tab w:val="left" w:pos="1440" w:leader="none"/>
          <w:tab w:val="left" w:pos="2160" w:leader="none"/>
          <w:tab w:val="left" w:pos="5106" w:leader="none"/>
          <w:tab w:val="left" w:pos="7254" w:leader="none"/>
        </w:tabs>
        <w:jc w:val="both"/>
        <w:rPr>
          <w:rFonts w:ascii="Arial" w:hAnsi="Arial" w:cs="Arial"/>
          <w:b/>
          <w:sz w:val="22"/>
        </w:rPr>
      </w:pPr>
      <w:r>
        <w:rPr>
          <w:rFonts w:cs="Arial" w:ascii="Arial" w:hAnsi="Arial"/>
          <w:b/>
          <w:sz w:val="22"/>
        </w:rPr>
        <w:t xml:space="preserve">The General Counsel of Enron Corp. (i.e., Jim Derrick); and </w:t>
      </w:r>
    </w:p>
    <w:p>
      <w:pPr>
        <w:pStyle w:val="Normal"/>
        <w:tabs>
          <w:tab w:val="clear" w:pos="720"/>
          <w:tab w:val="left" w:pos="1440" w:leader="none"/>
          <w:tab w:val="left" w:pos="2160" w:leader="none"/>
          <w:tab w:val="left" w:pos="5106" w:leader="none"/>
          <w:tab w:val="left" w:pos="7254" w:leader="none"/>
        </w:tabs>
        <w:jc w:val="both"/>
        <w:rPr>
          <w:rFonts w:ascii="Arial" w:hAnsi="Arial" w:cs="Arial"/>
          <w:b/>
          <w:sz w:val="22"/>
        </w:rPr>
      </w:pPr>
      <w:r>
        <w:rPr>
          <w:rFonts w:cs="Arial" w:ascii="Arial" w:hAnsi="Arial"/>
          <w:b/>
          <w:sz w:val="22"/>
        </w:rPr>
      </w:r>
    </w:p>
    <w:p>
      <w:pPr>
        <w:pStyle w:val="Normal"/>
        <w:numPr>
          <w:ilvl w:val="0"/>
          <w:numId w:val="4"/>
        </w:numPr>
        <w:tabs>
          <w:tab w:val="clear" w:pos="720"/>
          <w:tab w:val="left" w:pos="1440" w:leader="none"/>
          <w:tab w:val="left" w:pos="2160" w:leader="none"/>
          <w:tab w:val="left" w:pos="5106" w:leader="none"/>
          <w:tab w:val="left" w:pos="7254" w:leader="none"/>
        </w:tabs>
        <w:jc w:val="both"/>
        <w:rPr>
          <w:rFonts w:ascii="Arial" w:hAnsi="Arial" w:cs="Arial"/>
          <w:b/>
          <w:sz w:val="22"/>
        </w:rPr>
      </w:pPr>
      <w:r>
        <w:rPr>
          <w:rFonts w:cs="Arial" w:ascii="Arial" w:hAnsi="Arial"/>
          <w:b/>
          <w:sz w:val="22"/>
        </w:rPr>
        <w:t>The Executive Vice President, Corporate Development, of Enron Corp (i.e., Mark Metts).</w:t>
      </w:r>
    </w:p>
    <w:p>
      <w:pPr>
        <w:pStyle w:val="Normal"/>
        <w:tabs>
          <w:tab w:val="left" w:pos="720" w:leader="none"/>
          <w:tab w:val="left" w:pos="5106" w:leader="none"/>
          <w:tab w:val="left" w:pos="7254" w:leader="none"/>
        </w:tabs>
        <w:jc w:val="both"/>
        <w:rPr>
          <w:rFonts w:ascii="Arial" w:hAnsi="Arial" w:cs="Arial"/>
          <w:b/>
          <w:sz w:val="22"/>
        </w:rPr>
      </w:pPr>
      <w:r>
        <w:rPr>
          <w:rFonts w:cs="Arial" w:ascii="Arial" w:hAnsi="Arial"/>
          <w:b/>
          <w:sz w:val="22"/>
        </w:rPr>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1800"/>
        </w:tabs>
        <w:ind w:start="180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2000-04-28T15:34:00Z</dcterms:created>
  <dc:creator>kyoung</dc:creator>
  <dc:description/>
  <dc:language>en-CA</dc:language>
  <cp:lastModifiedBy>kyoung</cp:lastModifiedBy>
  <dcterms:modified xsi:type="dcterms:W3CDTF">2000-04-28T15:44:00Z</dcterms:modified>
  <cp:revision>1</cp:revision>
  <dc:subject/>
  <dc:title>Non-Raid, No-Hire, Non-Solicitation Provisions</dc:title>
</cp:coreProperties>
</file>