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108" w:type="dxa"/>
        <w:jc w:val="start"/>
        <w:tblInd w:w="108" w:type="dxa"/>
        <w:tblLayout w:type="fixed"/>
        <w:tblCellMar>
          <w:top w:w="0" w:type="dxa"/>
          <w:start w:w="108" w:type="dxa"/>
          <w:bottom w:w="0" w:type="dxa"/>
          <w:end w:w="108" w:type="dxa"/>
        </w:tblCellMar>
      </w:tblPr>
      <w:tblGrid>
        <w:gridCol w:w="6372"/>
        <w:gridCol w:w="2736"/>
      </w:tblGrid>
      <w:tr>
        <w:trPr/>
        <w:tc>
          <w:tcPr>
            <w:tcW w:w="6372" w:type="dxa"/>
            <w:tcBorders/>
          </w:tcPr>
          <w:p>
            <w:pPr>
              <w:pStyle w:val="Heading"/>
              <w:tabs>
                <w:tab w:val="clear" w:pos="720"/>
                <w:tab w:val="left" w:pos="2268" w:leader="none"/>
                <w:tab w:val="left" w:pos="4698" w:leader="none"/>
              </w:tabs>
              <w:ind w:end="-166"/>
              <w:rPr>
                <w:sz w:val="22"/>
              </w:rPr>
            </w:pPr>
            <w:r>
              <w:rPr>
                <w:sz w:val="22"/>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tc>
        <w:tc>
          <w:tcPr>
            <w:tcW w:w="2736" w:type="dxa"/>
            <w:tcBorders/>
          </w:tcPr>
          <w:p>
            <w:pPr>
              <w:pStyle w:val="Normal"/>
              <w:snapToGrid w:val="false"/>
              <w:ind w:end="-166"/>
              <w:rPr>
                <w:rFonts w:ascii="Arial" w:hAnsi="Arial" w:cs="Arial"/>
                <w:sz w:val="28"/>
              </w:rPr>
            </w:pPr>
            <w:r>
              <w:rPr>
                <w:rFonts w:cs="Arial" w:ascii="Arial" w:hAnsi="Arial"/>
                <w:sz w:val="28"/>
              </w:rPr>
            </w:r>
          </w:p>
          <w:p>
            <w:pPr>
              <w:pStyle w:val="Normal"/>
              <w:ind w:end="-166"/>
              <w:rPr>
                <w:rFonts w:ascii="Arial" w:hAnsi="Arial" w:cs="Arial"/>
                <w:smallCaps/>
                <w:sz w:val="28"/>
              </w:rPr>
            </w:pPr>
            <w:r>
              <w:rPr>
                <w:rFonts w:cs="Arial" w:ascii="Arial" w:hAnsi="Arial"/>
                <w:smallCaps/>
                <w:sz w:val="28"/>
              </w:rPr>
            </w:r>
          </w:p>
          <w:p>
            <w:pPr>
              <w:pStyle w:val="Normal"/>
              <w:ind w:end="-166"/>
              <w:rPr>
                <w:rFonts w:ascii="Arial" w:hAnsi="Arial" w:cs="Arial"/>
                <w:smallCaps/>
                <w:sz w:val="28"/>
              </w:rPr>
            </w:pPr>
            <w:r>
              <w:rPr>
                <w:rFonts w:cs="Arial" w:ascii="Arial" w:hAnsi="Arial"/>
                <w:smallCaps/>
                <w:sz w:val="28"/>
              </w:rPr>
            </w:r>
          </w:p>
          <w:p>
            <w:pPr>
              <w:pStyle w:val="Normal"/>
              <w:ind w:end="-166"/>
              <w:rPr>
                <w:rFonts w:ascii="Arial" w:hAnsi="Arial" w:cs="Arial"/>
                <w:b/>
                <w:smallCaps/>
                <w:sz w:val="28"/>
              </w:rPr>
            </w:pPr>
            <w:r>
              <w:rPr>
                <w:rFonts w:cs="Arial" w:ascii="Arial" w:hAnsi="Arial"/>
                <w:b/>
                <w:smallCaps/>
                <w:sz w:val="28"/>
              </w:rPr>
              <w:t>Interoffice</w:t>
            </w:r>
          </w:p>
          <w:p>
            <w:pPr>
              <w:pStyle w:val="Normal"/>
              <w:ind w:end="-166"/>
              <w:rPr>
                <w:rFonts w:ascii="Arial" w:hAnsi="Arial" w:cs="Arial"/>
                <w:b/>
                <w:sz w:val="22"/>
              </w:rPr>
            </w:pPr>
            <w:r>
              <w:rPr>
                <w:rFonts w:cs="Arial" w:ascii="Arial" w:hAnsi="Arial"/>
                <w:b/>
                <w:smallCaps/>
                <w:sz w:val="28"/>
              </w:rPr>
              <w:t>Memorandum</w:t>
            </w:r>
          </w:p>
        </w:tc>
      </w:tr>
    </w:tbl>
    <w:p>
      <w:pPr>
        <w:pStyle w:val="Normal"/>
        <w:tabs>
          <w:tab w:val="clear" w:pos="720"/>
          <w:tab w:val="left" w:pos="-2880" w:leader="none"/>
          <w:tab w:val="right" w:pos="8784" w:leader="none"/>
        </w:tabs>
        <w:suppressAutoHyphens w:val="true"/>
        <w:spacing w:lineRule="auto" w:line="360"/>
        <w:ind w:end="14"/>
        <w:rPr>
          <w:rFonts w:ascii="Arial" w:hAnsi="Arial" w:cs="Arial"/>
          <w:b/>
          <w:color w:val="000000"/>
          <w:sz w:val="22"/>
        </w:rPr>
      </w:pPr>
      <w:r>
        <w:rPr>
          <w:rFonts w:cs="Arial" w:ascii="Arial" w:hAnsi="Arial"/>
          <w:b/>
          <w:color w:val="000000"/>
          <w:sz w:val="22"/>
          <w:u w:val="double"/>
        </w:rPr>
        <w:tab/>
      </w:r>
    </w:p>
    <w:p>
      <w:pPr>
        <w:pStyle w:val="Normal"/>
        <w:tabs>
          <w:tab w:val="clear" w:pos="720"/>
          <w:tab w:val="left" w:pos="0" w:leader="none"/>
          <w:tab w:val="left" w:pos="1800" w:leader="none"/>
          <w:tab w:val="left" w:pos="2400" w:leader="none"/>
          <w:tab w:val="left" w:pos="3000" w:leader="none"/>
        </w:tabs>
        <w:suppressAutoHyphens w:val="true"/>
        <w:spacing w:lineRule="auto" w:line="360"/>
        <w:ind w:end="14"/>
        <w:jc w:val="center"/>
        <w:rPr>
          <w:rFonts w:ascii="Arial" w:hAnsi="Arial" w:cs="Arial"/>
          <w:b/>
          <w:i/>
          <w:i/>
          <w:color w:val="000000"/>
          <w:sz w:val="28"/>
        </w:rPr>
      </w:pPr>
      <w:r>
        <w:rPr>
          <w:rFonts w:cs="Arial" w:ascii="Arial" w:hAnsi="Arial"/>
          <w:b/>
          <w:i/>
          <w:color w:val="000000"/>
          <w:sz w:val="28"/>
        </w:rPr>
        <w:t>P</w:t>
      </w:r>
      <w:r>
        <w:rPr>
          <w:rFonts w:cs="Arial" w:ascii="Arial" w:hAnsi="Arial"/>
          <w:b/>
          <w:i/>
          <w:color w:val="000000"/>
          <w:sz w:val="22"/>
        </w:rPr>
        <w:t>ERSONAL</w:t>
      </w:r>
      <w:r>
        <w:rPr>
          <w:rFonts w:cs="Arial" w:ascii="Arial" w:hAnsi="Arial"/>
          <w:b/>
          <w:i/>
          <w:color w:val="000000"/>
          <w:sz w:val="28"/>
        </w:rPr>
        <w:t xml:space="preserve"> &amp; C</w:t>
      </w:r>
      <w:r>
        <w:rPr>
          <w:rFonts w:cs="Arial" w:ascii="Arial" w:hAnsi="Arial"/>
          <w:b/>
          <w:i/>
          <w:color w:val="000000"/>
          <w:sz w:val="22"/>
        </w:rPr>
        <w:t>ONFIDENTIAL</w:t>
      </w:r>
    </w:p>
    <w:p>
      <w:pPr>
        <w:pStyle w:val="Normal"/>
        <w:tabs>
          <w:tab w:val="clear" w:pos="720"/>
          <w:tab w:val="left" w:pos="1440" w:leader="none"/>
          <w:tab w:val="left" w:pos="4320" w:leader="none"/>
        </w:tabs>
        <w:ind w:end="14"/>
        <w:jc w:val="both"/>
        <w:rPr>
          <w:rFonts w:ascii="Arial" w:hAnsi="Arial" w:cs="Arial"/>
          <w:b/>
          <w:i/>
          <w:i/>
          <w:color w:val="000000"/>
          <w:sz w:val="22"/>
        </w:rPr>
      </w:pPr>
      <w:r>
        <w:rPr>
          <w:rFonts w:cs="Arial" w:ascii="Arial" w:hAnsi="Arial"/>
          <w:b/>
          <w:i/>
          <w:color w:val="000000"/>
          <w:sz w:val="22"/>
        </w:rPr>
      </w:r>
    </w:p>
    <w:p>
      <w:pPr>
        <w:pStyle w:val="Normal"/>
        <w:tabs>
          <w:tab w:val="clear" w:pos="720"/>
          <w:tab w:val="left" w:pos="1440" w:leader="none"/>
          <w:tab w:val="left" w:pos="4320" w:leader="none"/>
        </w:tabs>
        <w:ind w:end="14"/>
        <w:jc w:val="both"/>
        <w:rPr/>
      </w:pPr>
      <w:r>
        <w:rPr>
          <w:rFonts w:cs="Arial" w:ascii="Arial" w:hAnsi="Arial"/>
          <w:b/>
          <w:color w:val="000000"/>
          <w:sz w:val="22"/>
        </w:rPr>
        <w:t>TO:</w:t>
      </w:r>
      <w:r>
        <w:rPr>
          <w:rFonts w:cs="Arial" w:ascii="Arial" w:hAnsi="Arial"/>
          <w:color w:val="000000"/>
          <w:sz w:val="22"/>
        </w:rPr>
        <w:tab/>
        <w:t>All Enron Attorneys</w:t>
      </w:r>
    </w:p>
    <w:p>
      <w:pPr>
        <w:pStyle w:val="Normal"/>
        <w:tabs>
          <w:tab w:val="clear" w:pos="720"/>
          <w:tab w:val="left" w:pos="1440" w:leader="none"/>
          <w:tab w:val="left" w:pos="4320" w:leader="none"/>
        </w:tabs>
        <w:ind w:end="14"/>
        <w:jc w:val="both"/>
        <w:rPr>
          <w:rFonts w:ascii="Arial" w:hAnsi="Arial" w:cs="Arial"/>
          <w:color w:val="000000"/>
          <w:sz w:val="22"/>
        </w:rPr>
      </w:pPr>
      <w:r>
        <w:rPr>
          <w:rFonts w:cs="Arial" w:ascii="Arial" w:hAnsi="Arial"/>
          <w:color w:val="000000"/>
          <w:sz w:val="22"/>
        </w:rPr>
      </w:r>
    </w:p>
    <w:p>
      <w:pPr>
        <w:pStyle w:val="Normal"/>
        <w:tabs>
          <w:tab w:val="clear" w:pos="720"/>
          <w:tab w:val="left" w:pos="1440" w:leader="none"/>
          <w:tab w:val="left" w:pos="4320" w:leader="none"/>
        </w:tabs>
        <w:ind w:end="14"/>
        <w:jc w:val="both"/>
        <w:rPr/>
      </w:pPr>
      <w:r>
        <w:rPr>
          <w:rFonts w:cs="Arial" w:ascii="Arial" w:hAnsi="Arial"/>
          <w:b/>
          <w:color w:val="000000"/>
          <w:sz w:val="22"/>
        </w:rPr>
        <w:t>FROM:</w:t>
      </w:r>
      <w:r>
        <w:rPr>
          <w:rFonts w:cs="Arial" w:ascii="Arial" w:hAnsi="Arial"/>
          <w:color w:val="000000"/>
          <w:sz w:val="22"/>
        </w:rPr>
        <w:tab/>
        <w:t>Jim Derrick</w:t>
      </w:r>
    </w:p>
    <w:p>
      <w:pPr>
        <w:pStyle w:val="Normal"/>
        <w:tabs>
          <w:tab w:val="clear" w:pos="720"/>
          <w:tab w:val="left" w:pos="1440" w:leader="none"/>
          <w:tab w:val="left" w:pos="4320" w:leader="none"/>
        </w:tabs>
        <w:ind w:end="14"/>
        <w:jc w:val="both"/>
        <w:rPr>
          <w:rFonts w:ascii="Arial" w:hAnsi="Arial" w:cs="Arial"/>
          <w:color w:val="000000"/>
          <w:sz w:val="22"/>
        </w:rPr>
      </w:pPr>
      <w:r>
        <w:rPr>
          <w:rFonts w:cs="Arial" w:ascii="Arial" w:hAnsi="Arial"/>
          <w:color w:val="000000"/>
          <w:sz w:val="22"/>
        </w:rPr>
        <w:tab/>
        <w:t>Executive Vice President and General Counsel,</w:t>
      </w:r>
    </w:p>
    <w:p>
      <w:pPr>
        <w:pStyle w:val="Normal"/>
        <w:tabs>
          <w:tab w:val="clear" w:pos="720"/>
          <w:tab w:val="left" w:pos="1440" w:leader="none"/>
          <w:tab w:val="left" w:pos="4320" w:leader="none"/>
        </w:tabs>
        <w:ind w:end="14"/>
        <w:jc w:val="both"/>
        <w:rPr>
          <w:rFonts w:ascii="Arial" w:hAnsi="Arial" w:cs="Arial"/>
          <w:color w:val="000000"/>
          <w:sz w:val="22"/>
        </w:rPr>
      </w:pPr>
      <w:r>
        <w:rPr>
          <w:rFonts w:cs="Arial" w:ascii="Arial" w:hAnsi="Arial"/>
          <w:color w:val="000000"/>
          <w:sz w:val="22"/>
        </w:rPr>
        <w:tab/>
        <w:t>Enron Corp.</w:t>
      </w:r>
    </w:p>
    <w:p>
      <w:pPr>
        <w:pStyle w:val="Normal"/>
        <w:tabs>
          <w:tab w:val="clear" w:pos="720"/>
          <w:tab w:val="left" w:pos="0" w:leader="none"/>
          <w:tab w:val="left" w:pos="1440" w:leader="none"/>
          <w:tab w:val="left" w:pos="2400" w:leader="none"/>
          <w:tab w:val="left" w:pos="3000" w:leader="none"/>
        </w:tabs>
        <w:suppressAutoHyphens w:val="true"/>
        <w:ind w:end="14"/>
        <w:rPr>
          <w:rFonts w:ascii="Arial" w:hAnsi="Arial" w:cs="Arial"/>
          <w:color w:val="000000"/>
          <w:sz w:val="22"/>
        </w:rPr>
      </w:pPr>
      <w:r>
        <w:rPr>
          <w:rFonts w:cs="Arial" w:ascii="Arial" w:hAnsi="Arial"/>
          <w:color w:val="000000"/>
          <w:sz w:val="22"/>
        </w:rPr>
      </w:r>
    </w:p>
    <w:p>
      <w:pPr>
        <w:pStyle w:val="Normal"/>
        <w:tabs>
          <w:tab w:val="clear" w:pos="720"/>
          <w:tab w:val="left" w:pos="0" w:leader="none"/>
          <w:tab w:val="left" w:pos="1440" w:leader="none"/>
          <w:tab w:val="left" w:pos="2400" w:leader="none"/>
          <w:tab w:val="left" w:pos="3000" w:leader="none"/>
        </w:tabs>
        <w:suppressAutoHyphens w:val="true"/>
        <w:ind w:hanging="1800" w:start="1800" w:end="14"/>
        <w:rPr/>
      </w:pPr>
      <w:r>
        <w:rPr>
          <w:rFonts w:cs="Arial" w:ascii="Arial" w:hAnsi="Arial"/>
          <w:b/>
          <w:color w:val="000000"/>
          <w:sz w:val="22"/>
        </w:rPr>
        <w:t>DATE:</w:t>
      </w:r>
      <w:r>
        <w:rPr>
          <w:rFonts w:cs="Arial" w:ascii="Arial" w:hAnsi="Arial"/>
          <w:color w:val="000000"/>
          <w:sz w:val="22"/>
        </w:rPr>
        <w:tab/>
        <w:t>February 1, 2000</w:t>
      </w:r>
    </w:p>
    <w:p>
      <w:pPr>
        <w:pStyle w:val="Normal"/>
        <w:tabs>
          <w:tab w:val="clear" w:pos="720"/>
          <w:tab w:val="left" w:pos="0" w:leader="none"/>
          <w:tab w:val="left" w:pos="1440" w:leader="none"/>
          <w:tab w:val="left" w:pos="2400" w:leader="none"/>
          <w:tab w:val="left" w:pos="3000" w:leader="none"/>
        </w:tabs>
        <w:suppressAutoHyphens w:val="true"/>
        <w:ind w:end="14"/>
        <w:rPr>
          <w:rFonts w:ascii="Arial" w:hAnsi="Arial" w:cs="Arial"/>
          <w:color w:val="000000"/>
          <w:sz w:val="22"/>
        </w:rPr>
      </w:pPr>
      <w:r>
        <w:rPr>
          <w:rFonts w:cs="Arial" w:ascii="Arial" w:hAnsi="Arial"/>
          <w:color w:val="000000"/>
          <w:sz w:val="22"/>
        </w:rPr>
      </w:r>
    </w:p>
    <w:p>
      <w:pPr>
        <w:pStyle w:val="Normal"/>
        <w:tabs>
          <w:tab w:val="clear" w:pos="720"/>
          <w:tab w:val="left" w:pos="1440" w:leader="none"/>
          <w:tab w:val="left" w:pos="2400" w:leader="none"/>
          <w:tab w:val="left" w:pos="3000" w:leader="none"/>
        </w:tabs>
        <w:suppressAutoHyphens w:val="true"/>
        <w:ind w:hanging="1440" w:start="1440" w:end="14"/>
        <w:jc w:val="both"/>
        <w:rPr/>
      </w:pPr>
      <w:r>
        <w:rPr>
          <w:rFonts w:cs="Arial" w:ascii="Arial" w:hAnsi="Arial"/>
          <w:b/>
          <w:color w:val="000000"/>
          <w:spacing w:val="-3"/>
          <w:sz w:val="22"/>
        </w:rPr>
        <w:t>SUBJECT:</w:t>
      </w:r>
      <w:r>
        <w:rPr>
          <w:rFonts w:cs="Arial" w:ascii="Arial" w:hAnsi="Arial"/>
          <w:color w:val="000000"/>
          <w:spacing w:val="-3"/>
          <w:sz w:val="22"/>
        </w:rPr>
        <w:tab/>
        <w:t>Noncompetition Agreement; Affecting Residential Business</w:t>
      </w:r>
    </w:p>
    <w:p>
      <w:pPr>
        <w:pStyle w:val="Normal"/>
        <w:suppressAutoHyphens w:val="true"/>
        <w:spacing w:lineRule="auto" w:line="254"/>
        <w:ind w:end="14"/>
        <w:jc w:val="both"/>
        <w:rPr>
          <w:rFonts w:ascii="Arial" w:hAnsi="Arial" w:cs="Arial"/>
          <w:color w:val="000000"/>
          <w:spacing w:val="-3"/>
          <w:sz w:val="22"/>
          <w:u w:val="single"/>
        </w:rPr>
      </w:pPr>
      <w:r>
        <w:rPr>
          <w:rFonts w:cs="Arial" w:ascii="Arial" w:hAnsi="Arial"/>
          <w:color w:val="000000"/>
          <w:spacing w:val="-3"/>
          <w:sz w:val="22"/>
          <w:u w:val="single"/>
        </w:rPr>
        <w:t>_________________________________________________________________________</w:t>
      </w:r>
    </w:p>
    <w:p>
      <w:pPr>
        <w:pStyle w:val="Normal"/>
        <w:suppressAutoHyphens w:val="true"/>
        <w:spacing w:lineRule="auto" w:line="254"/>
        <w:ind w:end="14"/>
        <w:jc w:val="both"/>
        <w:rPr>
          <w:rFonts w:ascii="Arial" w:hAnsi="Arial" w:cs="Arial"/>
          <w:color w:val="000000"/>
          <w:spacing w:val="-3"/>
          <w:sz w:val="22"/>
          <w:u w:val="single"/>
        </w:rPr>
      </w:pPr>
      <w:r>
        <w:rPr>
          <w:rFonts w:cs="Arial" w:ascii="Arial" w:hAnsi="Arial"/>
          <w:color w:val="000000"/>
          <w:spacing w:val="-3"/>
          <w:sz w:val="22"/>
          <w:u w:val="single"/>
        </w:rPr>
      </w:r>
    </w:p>
    <w:p>
      <w:pPr>
        <w:pStyle w:val="BodyTextIndent2"/>
        <w:ind w:firstLine="720" w:start="0" w:end="0"/>
        <w:rPr>
          <w:sz w:val="22"/>
        </w:rPr>
      </w:pPr>
      <w:r>
        <w:rPr>
          <w:sz w:val="22"/>
        </w:rPr>
        <w:t>This Memorandum is for the purpose of notifying you of a Noncompetition Agreement, dated as of January 6, 2000 (“Agreement”), that Enron Corp. (“Enron”) and Enron Energy Services, LLC (“EES”) have executed with EMW Energy Services Corp. (“EMW”), a newly created company with outside investors in which EES has a significant investment.  The Agreement, subject to certain exceptions, prohibits Enron, EES, and their respective controlled affiliates from engaging in certain activities and business pursuits (including investments, acquisitions, business combinations, management, consulting and advisory services, and other activities) which are directed to, or used in conjunction with, the retail sale of natural gas or electricity to individuals in the United States.</w:t>
      </w:r>
    </w:p>
    <w:p>
      <w:pPr>
        <w:pStyle w:val="BodyTextIndent2"/>
        <w:ind w:firstLine="720" w:start="0" w:end="0"/>
        <w:rPr>
          <w:sz w:val="22"/>
        </w:rPr>
      </w:pPr>
      <w:r>
        <w:rPr>
          <w:sz w:val="22"/>
        </w:rPr>
      </w:r>
    </w:p>
    <w:p>
      <w:pPr>
        <w:pStyle w:val="BodyTextIndent2"/>
        <w:ind w:firstLine="720" w:start="0" w:end="0"/>
        <w:rPr/>
      </w:pPr>
      <w:r>
        <w:rPr>
          <w:sz w:val="22"/>
          <w:u w:val="single"/>
        </w:rPr>
        <w:t>Please note that the formation and private placement of EMW is highly confidential and has not been publicly announced.  Therefore, please treat the existence of EMW and this Memorandum with strict confidence</w:t>
      </w:r>
      <w:r>
        <w:rPr>
          <w:sz w:val="22"/>
        </w:rPr>
        <w:t>.</w:t>
      </w:r>
    </w:p>
    <w:p>
      <w:pPr>
        <w:pStyle w:val="BodyTextIndent2"/>
        <w:ind w:firstLine="720" w:start="0" w:end="0"/>
        <w:rPr>
          <w:sz w:val="22"/>
        </w:rPr>
      </w:pPr>
      <w:r>
        <w:rPr>
          <w:sz w:val="22"/>
        </w:rPr>
      </w:r>
    </w:p>
    <w:p>
      <w:pPr>
        <w:pStyle w:val="BodyTextIndent2"/>
        <w:ind w:firstLine="720" w:start="0" w:end="0"/>
        <w:rPr>
          <w:sz w:val="22"/>
        </w:rPr>
      </w:pPr>
      <w:r>
        <w:rPr>
          <w:sz w:val="22"/>
        </w:rPr>
        <w:t>Until January 6, 2005 (unless earlier terminated) and except as expressly permitted in Sections 2.2 and 2.3 of the Agreement, the Agreement prohibits Enron, EES, and their respective controlled affiliates from (the “Prohibited Business”):</w:t>
      </w:r>
    </w:p>
    <w:p>
      <w:pPr>
        <w:pStyle w:val="BodyTextIndent2"/>
        <w:ind w:firstLine="720" w:start="0" w:end="0"/>
        <w:rPr>
          <w:sz w:val="22"/>
        </w:rPr>
      </w:pPr>
      <w:r>
        <w:rPr>
          <w:sz w:val="22"/>
        </w:rPr>
      </w:r>
    </w:p>
    <w:p>
      <w:pPr>
        <w:pStyle w:val="BodyTextIndent2"/>
        <w:ind w:start="1440" w:end="0"/>
        <w:rPr>
          <w:sz w:val="22"/>
        </w:rPr>
      </w:pPr>
      <w:r>
        <w:rPr>
          <w:sz w:val="22"/>
        </w:rPr>
        <w:t>1.</w:t>
        <w:tab/>
        <w:t>Entering into a contract or agreement directly with any individual for the retail sale of natural gas or electricity to such individual for his or her own account and not for commercial purposes in the United States (such individuals meeting the foregoing qualifications are referred to as “Residential Energy Customers”); or</w:t>
      </w:r>
    </w:p>
    <w:p>
      <w:pPr>
        <w:pStyle w:val="BodyTextIndent2"/>
        <w:ind w:start="1440" w:end="0"/>
        <w:rPr>
          <w:sz w:val="22"/>
        </w:rPr>
      </w:pPr>
      <w:r>
        <w:rPr>
          <w:sz w:val="22"/>
        </w:rPr>
      </w:r>
    </w:p>
    <w:p>
      <w:pPr>
        <w:pStyle w:val="BodyTextIndent2"/>
        <w:ind w:start="1440" w:end="0"/>
        <w:rPr>
          <w:sz w:val="22"/>
        </w:rPr>
      </w:pPr>
      <w:r>
        <w:rPr>
          <w:sz w:val="22"/>
        </w:rPr>
        <w:t>2.</w:t>
        <w:tab/>
        <w:t>Other than with respect to EMW and its controlled affiliates, acquiring any interest, directly or indirectly, in any equity securities of any person who has contracts or agreements directly with any individual for the retail sale of natural gas or electricity to Residential Energy Customers; or</w:t>
      </w:r>
    </w:p>
    <w:p>
      <w:pPr>
        <w:pStyle w:val="BodyTextIndent2"/>
        <w:ind w:start="1440" w:end="0"/>
        <w:rPr>
          <w:sz w:val="22"/>
        </w:rPr>
      </w:pPr>
      <w:r>
        <w:rPr>
          <w:sz w:val="22"/>
        </w:rPr>
      </w:r>
    </w:p>
    <w:p>
      <w:pPr>
        <w:pStyle w:val="BodyTextIndent2"/>
        <w:ind w:start="1440" w:end="0"/>
        <w:rPr/>
      </w:pPr>
      <w:r>
        <w:rPr>
          <w:sz w:val="22"/>
        </w:rPr>
        <w:t>3.</w:t>
        <w:tab/>
        <w:t xml:space="preserve">Other than with respect to EMW and its controlled affiliates, operating, managing or otherwise conducting the business of selling natural gas or electricity at retail directly to any Residential Energy Customers or providing consulting or advisory services in connection with the operation or management of any such business; </w:t>
      </w:r>
      <w:r>
        <w:rPr>
          <w:i/>
          <w:sz w:val="22"/>
        </w:rPr>
        <w:t>provided</w:t>
      </w:r>
      <w:r>
        <w:rPr>
          <w:sz w:val="22"/>
        </w:rPr>
        <w:t xml:space="preserve"> that the foregoing does not preclude the wholesale sale of natural gas and/or electricity (or any derivative products or services provided in connection therewith).</w:t>
      </w:r>
    </w:p>
    <w:p>
      <w:pPr>
        <w:pStyle w:val="BodyTextIndent2"/>
        <w:ind w:start="2160" w:end="0"/>
        <w:rPr>
          <w:sz w:val="22"/>
        </w:rPr>
      </w:pPr>
      <w:r>
        <w:rPr>
          <w:sz w:val="22"/>
        </w:rPr>
      </w:r>
    </w:p>
    <w:p>
      <w:pPr>
        <w:pStyle w:val="Normal"/>
        <w:suppressAutoHyphens w:val="true"/>
        <w:spacing w:lineRule="auto" w:line="254"/>
        <w:ind w:firstLine="720" w:end="14"/>
        <w:jc w:val="both"/>
        <w:rPr/>
      </w:pPr>
      <w:r>
        <w:rPr>
          <w:rFonts w:cs="Arial" w:ascii="Arial" w:hAnsi="Arial"/>
          <w:color w:val="000000"/>
          <w:spacing w:val="-3"/>
          <w:sz w:val="22"/>
        </w:rPr>
        <w:t xml:space="preserve">In an effort to manage the obligations of Enron and EES with respect to the Agreement, </w:t>
      </w:r>
      <w:r>
        <w:rPr>
          <w:rFonts w:cs="Arial" w:ascii="Arial" w:hAnsi="Arial"/>
          <w:color w:val="000000"/>
          <w:spacing w:val="-3"/>
          <w:sz w:val="22"/>
          <w:u w:val="single"/>
        </w:rPr>
        <w:t>BEFORE ENRON, EES OR ANY OF THEIR RESPECTIVE CONTROLLED AFFILIATES MAKES ANY INVESTMENT IN, OR ACQUISITION OF SECURITIES OR ASSETS OF, ANOTHER PERSON, OR ENTERS INTO ANY MANAGEMENT, CONSULTING, ADVISORY SERVICES, OR SIMILAR AGREEMENT (OR ANY COMMITMENT WITH RESPECT THERETO) WITH ANOTHER PERSON, SUCH ENTITY MUST MAKE THE FOLLOWING DETERMINATIONS AND NOTIFICATIONS:</w:t>
      </w:r>
    </w:p>
    <w:p>
      <w:pPr>
        <w:pStyle w:val="Normal"/>
        <w:suppressAutoHyphens w:val="true"/>
        <w:spacing w:lineRule="auto" w:line="254"/>
        <w:ind w:firstLine="720" w:end="14"/>
        <w:jc w:val="both"/>
        <w:rPr>
          <w:rFonts w:ascii="Arial" w:hAnsi="Arial" w:cs="Arial"/>
          <w:color w:val="000000"/>
          <w:spacing w:val="-3"/>
          <w:sz w:val="22"/>
          <w:u w:val="single"/>
        </w:rPr>
      </w:pPr>
      <w:r>
        <w:rPr>
          <w:rFonts w:cs="Arial" w:ascii="Arial" w:hAnsi="Arial"/>
          <w:color w:val="000000"/>
          <w:spacing w:val="-3"/>
          <w:sz w:val="22"/>
          <w:u w:val="single"/>
        </w:rPr>
      </w:r>
    </w:p>
    <w:p>
      <w:pPr>
        <w:pStyle w:val="BlockText"/>
        <w:rPr/>
      </w:pPr>
      <w:r>
        <w:rPr/>
        <w:t>A.</w:t>
        <w:tab/>
        <w:t>In cases where Enron, EES or any of their respective controlled affiliates proposes to acquire securities or assets of another person (the “Acquired Person”), such entity must determine whether or not the Acquired Person is engaged in any Prohibited Business.</w:t>
      </w:r>
    </w:p>
    <w:p>
      <w:pPr>
        <w:pStyle w:val="BlockText"/>
        <w:rPr/>
      </w:pPr>
      <w:r>
        <w:rPr/>
      </w:r>
    </w:p>
    <w:p>
      <w:pPr>
        <w:pStyle w:val="BlockText"/>
        <w:numPr>
          <w:ilvl w:val="0"/>
          <w:numId w:val="3"/>
        </w:numPr>
        <w:tabs>
          <w:tab w:val="clear" w:pos="720"/>
        </w:tabs>
        <w:ind w:hanging="360" w:start="1800" w:end="14"/>
        <w:rPr/>
      </w:pPr>
      <w:r>
        <w:rPr/>
        <w:t xml:space="preserve">If the Acquired Person </w:t>
      </w:r>
      <w:r>
        <w:rPr>
          <w:u w:val="single"/>
        </w:rPr>
        <w:t>is not engaged</w:t>
      </w:r>
      <w:r>
        <w:rPr/>
        <w:t xml:space="preserve"> in any Prohibited Business, then no further inquiries, approvals or notifications are necessary as a result of this Memorandum unless management, consulting, advisory or other services are to be provided as addressed in clause B below.</w:t>
      </w:r>
    </w:p>
    <w:p>
      <w:pPr>
        <w:pStyle w:val="BlockText"/>
        <w:tabs>
          <w:tab w:val="clear" w:pos="720"/>
          <w:tab w:val="left" w:pos="1800" w:leader="none"/>
        </w:tabs>
        <w:ind w:hanging="0" w:start="1800" w:end="14"/>
        <w:rPr/>
      </w:pPr>
      <w:r>
        <w:rPr/>
      </w:r>
    </w:p>
    <w:p>
      <w:pPr>
        <w:pStyle w:val="BlockText"/>
        <w:numPr>
          <w:ilvl w:val="0"/>
          <w:numId w:val="3"/>
        </w:numPr>
        <w:tabs>
          <w:tab w:val="clear" w:pos="720"/>
        </w:tabs>
        <w:ind w:hanging="360" w:start="1800" w:end="14"/>
        <w:rPr/>
      </w:pPr>
      <w:r>
        <w:rPr/>
        <w:t xml:space="preserve">If the Acquired Person </w:t>
      </w:r>
      <w:r>
        <w:rPr>
          <w:u w:val="single"/>
        </w:rPr>
        <w:t>is engaged</w:t>
      </w:r>
      <w:r>
        <w:rPr/>
        <w:t xml:space="preserve"> in any Prohibited Business, then prior to such acquisition Enron, EES, or their respective controlled affiliates must:</w:t>
      </w:r>
    </w:p>
    <w:p>
      <w:pPr>
        <w:pStyle w:val="Normal"/>
        <w:suppressAutoHyphens w:val="true"/>
        <w:spacing w:lineRule="auto" w:line="254"/>
        <w:ind w:hanging="720" w:start="1440" w:end="14"/>
        <w:jc w:val="both"/>
        <w:rPr>
          <w:rFonts w:ascii="Arial" w:hAnsi="Arial" w:cs="Arial"/>
          <w:color w:val="000000"/>
          <w:spacing w:val="-3"/>
          <w:sz w:val="22"/>
        </w:rPr>
      </w:pPr>
      <w:r>
        <w:rPr>
          <w:rFonts w:cs="Arial" w:ascii="Arial" w:hAnsi="Arial"/>
          <w:color w:val="000000"/>
          <w:spacing w:val="-3"/>
          <w:sz w:val="22"/>
        </w:rPr>
      </w:r>
    </w:p>
    <w:p>
      <w:pPr>
        <w:pStyle w:val="Normal"/>
        <w:numPr>
          <w:ilvl w:val="0"/>
          <w:numId w:val="2"/>
        </w:numPr>
        <w:tabs>
          <w:tab w:val="clear" w:pos="720"/>
        </w:tabs>
        <w:suppressAutoHyphens w:val="true"/>
        <w:spacing w:lineRule="auto" w:line="254"/>
        <w:ind w:hanging="360" w:start="2160" w:end="14"/>
        <w:jc w:val="both"/>
        <w:rPr>
          <w:rFonts w:ascii="Arial" w:hAnsi="Arial" w:cs="Arial"/>
          <w:color w:val="000000"/>
          <w:spacing w:val="-3"/>
          <w:sz w:val="22"/>
        </w:rPr>
      </w:pPr>
      <w:r>
        <w:rPr>
          <w:rFonts w:cs="Arial" w:ascii="Arial" w:hAnsi="Arial"/>
          <w:color w:val="000000"/>
          <w:spacing w:val="-3"/>
          <w:sz w:val="22"/>
        </w:rPr>
        <w:t>Notify the General Counsel of the respective business unit of such proposed acquisition; and</w:t>
      </w:r>
    </w:p>
    <w:p>
      <w:pPr>
        <w:pStyle w:val="Normal"/>
        <w:suppressAutoHyphens w:val="true"/>
        <w:spacing w:lineRule="auto" w:line="254"/>
        <w:ind w:start="2160" w:end="14"/>
        <w:jc w:val="both"/>
        <w:rPr>
          <w:rFonts w:ascii="Arial" w:hAnsi="Arial" w:cs="Arial"/>
          <w:color w:val="000000"/>
          <w:spacing w:val="-3"/>
          <w:sz w:val="22"/>
        </w:rPr>
      </w:pPr>
      <w:r>
        <w:rPr>
          <w:rFonts w:cs="Arial" w:ascii="Arial" w:hAnsi="Arial"/>
          <w:color w:val="000000"/>
          <w:spacing w:val="-3"/>
          <w:sz w:val="22"/>
        </w:rPr>
      </w:r>
    </w:p>
    <w:p>
      <w:pPr>
        <w:pStyle w:val="Normal"/>
        <w:numPr>
          <w:ilvl w:val="0"/>
          <w:numId w:val="2"/>
        </w:numPr>
        <w:tabs>
          <w:tab w:val="clear" w:pos="720"/>
        </w:tabs>
        <w:suppressAutoHyphens w:val="true"/>
        <w:spacing w:lineRule="auto" w:line="254"/>
        <w:ind w:hanging="360" w:start="2160" w:end="14"/>
        <w:jc w:val="both"/>
        <w:rPr>
          <w:rFonts w:ascii="Arial" w:hAnsi="Arial" w:cs="Arial"/>
          <w:color w:val="000000"/>
          <w:spacing w:val="-3"/>
          <w:sz w:val="22"/>
        </w:rPr>
      </w:pPr>
      <w:r>
        <w:rPr>
          <w:rFonts w:cs="Arial" w:ascii="Arial" w:hAnsi="Arial"/>
          <w:color w:val="000000"/>
          <w:spacing w:val="-3"/>
          <w:sz w:val="22"/>
        </w:rPr>
        <w:t>Notify the Executive Vice President, Corporate Development, of Enron Corp. (i.e., Mark Metts) of such proposed acquisition; and</w:t>
      </w:r>
    </w:p>
    <w:p>
      <w:pPr>
        <w:pStyle w:val="Normal"/>
        <w:suppressAutoHyphens w:val="true"/>
        <w:spacing w:lineRule="auto" w:line="254"/>
        <w:ind w:start="2160" w:end="14"/>
        <w:jc w:val="both"/>
        <w:rPr>
          <w:rFonts w:ascii="Arial" w:hAnsi="Arial" w:cs="Arial"/>
          <w:color w:val="000000"/>
          <w:spacing w:val="-3"/>
          <w:sz w:val="22"/>
        </w:rPr>
      </w:pPr>
      <w:r>
        <w:rPr>
          <w:rFonts w:cs="Arial" w:ascii="Arial" w:hAnsi="Arial"/>
          <w:color w:val="000000"/>
          <w:spacing w:val="-3"/>
          <w:sz w:val="22"/>
        </w:rPr>
      </w:r>
    </w:p>
    <w:p>
      <w:pPr>
        <w:pStyle w:val="Normal"/>
        <w:numPr>
          <w:ilvl w:val="0"/>
          <w:numId w:val="2"/>
        </w:numPr>
        <w:tabs>
          <w:tab w:val="clear" w:pos="720"/>
        </w:tabs>
        <w:suppressAutoHyphens w:val="true"/>
        <w:spacing w:lineRule="auto" w:line="254"/>
        <w:ind w:hanging="360" w:start="2160" w:end="14"/>
        <w:jc w:val="both"/>
        <w:rPr>
          <w:rFonts w:ascii="Arial" w:hAnsi="Arial" w:cs="Arial"/>
          <w:color w:val="000000"/>
          <w:spacing w:val="-3"/>
          <w:sz w:val="22"/>
        </w:rPr>
      </w:pPr>
      <w:r>
        <w:rPr>
          <w:rFonts w:cs="Arial" w:ascii="Arial" w:hAnsi="Arial"/>
          <w:color w:val="000000"/>
          <w:spacing w:val="-3"/>
          <w:sz w:val="22"/>
        </w:rPr>
        <w:t>Comply with the terms of the Noncompetition Agreement.</w:t>
      </w:r>
    </w:p>
    <w:p>
      <w:pPr>
        <w:pStyle w:val="Normal"/>
        <w:suppressAutoHyphens w:val="true"/>
        <w:spacing w:lineRule="auto" w:line="254"/>
        <w:ind w:end="14"/>
        <w:jc w:val="both"/>
        <w:rPr>
          <w:rFonts w:ascii="Arial" w:hAnsi="Arial" w:cs="Arial"/>
          <w:color w:val="000000"/>
          <w:spacing w:val="-3"/>
          <w:sz w:val="22"/>
        </w:rPr>
      </w:pPr>
      <w:r>
        <w:rPr>
          <w:rFonts w:cs="Arial" w:ascii="Arial" w:hAnsi="Arial"/>
          <w:color w:val="000000"/>
          <w:spacing w:val="-3"/>
          <w:sz w:val="22"/>
        </w:rPr>
      </w:r>
    </w:p>
    <w:p>
      <w:pPr>
        <w:pStyle w:val="BlockText"/>
        <w:rPr/>
      </w:pPr>
      <w:r>
        <w:rPr/>
        <w:t xml:space="preserve">B. </w:t>
        <w:tab/>
        <w:t>In cases where Enron, EES or any of their respective controlled affiliates proposes to enter into a management, consulting, advisory or similar services agreement, such entity must confirm that it will not violate the provisions of Item 3 above.</w:t>
      </w:r>
    </w:p>
    <w:p>
      <w:pPr>
        <w:pStyle w:val="Normal"/>
        <w:suppressAutoHyphens w:val="true"/>
        <w:spacing w:lineRule="auto" w:line="254"/>
        <w:ind w:start="720" w:end="14"/>
        <w:jc w:val="both"/>
        <w:rPr>
          <w:rFonts w:ascii="Arial" w:hAnsi="Arial" w:cs="Arial"/>
          <w:color w:val="000000"/>
          <w:spacing w:val="-3"/>
          <w:sz w:val="22"/>
        </w:rPr>
      </w:pPr>
      <w:r>
        <w:rPr>
          <w:rFonts w:cs="Arial" w:ascii="Arial" w:hAnsi="Arial"/>
          <w:color w:val="000000"/>
          <w:spacing w:val="-3"/>
          <w:sz w:val="22"/>
        </w:rPr>
      </w:r>
    </w:p>
    <w:p>
      <w:pPr>
        <w:pStyle w:val="Normal"/>
        <w:suppressAutoHyphens w:val="true"/>
        <w:spacing w:lineRule="auto" w:line="254"/>
        <w:ind w:firstLine="720" w:end="14"/>
        <w:jc w:val="both"/>
        <w:rPr>
          <w:rFonts w:ascii="Arial" w:hAnsi="Arial" w:cs="Arial"/>
          <w:color w:val="000000"/>
          <w:spacing w:val="-3"/>
          <w:sz w:val="22"/>
        </w:rPr>
      </w:pPr>
      <w:r>
        <w:rPr>
          <w:rFonts w:cs="Arial" w:ascii="Arial" w:hAnsi="Arial"/>
          <w:color w:val="000000"/>
          <w:spacing w:val="-3"/>
          <w:sz w:val="22"/>
        </w:rPr>
        <w:t>If in doubt about whether or not a proposed transaction by Enron, EES or any of their respective controlled affiliates would constitute a prohibited transaction, you should notify Mark Metts and the General Counsel of the respective Enron business unit for advice and approval.</w:t>
      </w:r>
    </w:p>
    <w:p>
      <w:pPr>
        <w:pStyle w:val="Normal"/>
        <w:suppressAutoHyphens w:val="true"/>
        <w:spacing w:lineRule="auto" w:line="254"/>
        <w:ind w:firstLine="720" w:end="14"/>
        <w:jc w:val="both"/>
        <w:rPr>
          <w:rFonts w:ascii="Arial" w:hAnsi="Arial" w:cs="Arial"/>
          <w:color w:val="000000"/>
          <w:spacing w:val="-3"/>
          <w:sz w:val="22"/>
        </w:rPr>
      </w:pPr>
      <w:r>
        <w:rPr>
          <w:rFonts w:cs="Arial" w:ascii="Arial" w:hAnsi="Arial"/>
          <w:color w:val="000000"/>
          <w:spacing w:val="-3"/>
          <w:sz w:val="22"/>
        </w:rPr>
      </w:r>
    </w:p>
    <w:p>
      <w:pPr>
        <w:pStyle w:val="Normal"/>
        <w:suppressAutoHyphens w:val="true"/>
        <w:spacing w:lineRule="auto" w:line="254"/>
        <w:ind w:firstLine="720" w:end="14"/>
        <w:jc w:val="both"/>
        <w:rPr>
          <w:rFonts w:ascii="Arial" w:hAnsi="Arial" w:cs="Arial"/>
          <w:color w:val="000000"/>
          <w:spacing w:val="-3"/>
          <w:sz w:val="22"/>
        </w:rPr>
      </w:pPr>
      <w:r>
        <w:rPr>
          <w:rFonts w:cs="Arial" w:ascii="Arial" w:hAnsi="Arial"/>
          <w:color w:val="000000"/>
          <w:spacing w:val="-3"/>
          <w:sz w:val="22"/>
        </w:rPr>
        <w:t>A copy of the Agreement and a Summary thereof are attached for your information.  Please become familiar with the obligations imposed by such Agreement, as they may require planning or affect structuring with respect to the activities of your respective business units.</w:t>
      </w:r>
    </w:p>
    <w:p>
      <w:pPr>
        <w:pStyle w:val="Normal"/>
        <w:suppressAutoHyphens w:val="true"/>
        <w:spacing w:lineRule="auto" w:line="254"/>
        <w:ind w:firstLine="720" w:end="14"/>
        <w:jc w:val="both"/>
        <w:rPr>
          <w:rFonts w:ascii="Arial" w:hAnsi="Arial" w:cs="Arial"/>
          <w:color w:val="000000"/>
          <w:spacing w:val="-3"/>
          <w:sz w:val="22"/>
        </w:rPr>
      </w:pPr>
      <w:r>
        <w:rPr>
          <w:rFonts w:cs="Arial" w:ascii="Arial" w:hAnsi="Arial"/>
          <w:color w:val="000000"/>
          <w:spacing w:val="-3"/>
          <w:sz w:val="22"/>
        </w:rPr>
      </w:r>
    </w:p>
    <w:p>
      <w:pPr>
        <w:pStyle w:val="Normal"/>
        <w:suppressAutoHyphens w:val="true"/>
        <w:spacing w:lineRule="auto" w:line="254"/>
        <w:ind w:firstLine="720" w:end="14"/>
        <w:jc w:val="both"/>
        <w:rPr>
          <w:rFonts w:ascii="Arial" w:hAnsi="Arial" w:cs="Arial"/>
          <w:color w:val="000000"/>
          <w:spacing w:val="-3"/>
          <w:sz w:val="22"/>
        </w:rPr>
      </w:pPr>
      <w:r>
        <w:rPr>
          <w:rFonts w:cs="Arial" w:ascii="Arial" w:hAnsi="Arial"/>
          <w:color w:val="000000"/>
          <w:spacing w:val="-3"/>
          <w:sz w:val="22"/>
        </w:rPr>
        <w:t>Your assistance in helping us manage the Agreement will be greatly appreciated.</w:t>
      </w:r>
    </w:p>
    <w:p>
      <w:pPr>
        <w:pStyle w:val="Normal"/>
        <w:suppressAutoHyphens w:val="true"/>
        <w:spacing w:lineRule="auto" w:line="254"/>
        <w:ind w:end="14"/>
        <w:jc w:val="both"/>
        <w:rPr>
          <w:rFonts w:ascii="Arial" w:hAnsi="Arial" w:cs="Arial"/>
          <w:color w:val="000000"/>
          <w:spacing w:val="-3"/>
          <w:sz w:val="22"/>
        </w:rPr>
      </w:pPr>
      <w:r>
        <w:rPr>
          <w:rFonts w:cs="Arial" w:ascii="Arial" w:hAnsi="Arial"/>
          <w:color w:val="000000"/>
          <w:spacing w:val="-3"/>
          <w:sz w:val="22"/>
        </w:rPr>
      </w:r>
    </w:p>
    <w:p>
      <w:pPr>
        <w:pStyle w:val="Normal"/>
        <w:suppressAutoHyphens w:val="true"/>
        <w:spacing w:lineRule="auto" w:line="254"/>
        <w:ind w:end="14"/>
        <w:jc w:val="both"/>
        <w:rPr>
          <w:rFonts w:ascii="Arial" w:hAnsi="Arial" w:cs="Arial"/>
          <w:color w:val="000000"/>
          <w:spacing w:val="-3"/>
          <w:sz w:val="22"/>
        </w:rPr>
      </w:pPr>
      <w:r>
        <w:rPr>
          <w:rFonts w:cs="Arial" w:ascii="Arial" w:hAnsi="Arial"/>
          <w:color w:val="000000"/>
          <w:spacing w:val="-3"/>
          <w:sz w:val="22"/>
        </w:rPr>
      </w:r>
    </w:p>
    <w:p>
      <w:pPr>
        <w:pStyle w:val="Normal"/>
        <w:suppressAutoHyphens w:val="true"/>
        <w:spacing w:lineRule="auto" w:line="254"/>
        <w:ind w:end="14"/>
        <w:jc w:val="both"/>
        <w:rPr>
          <w:rFonts w:ascii="Arial" w:hAnsi="Arial" w:cs="Arial"/>
          <w:color w:val="000000"/>
          <w:spacing w:val="-3"/>
          <w:sz w:val="22"/>
        </w:rPr>
      </w:pPr>
      <w:r>
        <w:rPr>
          <w:rFonts w:cs="Arial" w:ascii="Arial" w:hAnsi="Arial"/>
          <w:color w:val="000000"/>
          <w:spacing w:val="-3"/>
          <w:sz w:val="22"/>
        </w:rPr>
        <w:t>cc:</w:t>
        <w:tab/>
        <w:t>Enron Executive Committee</w:t>
      </w:r>
    </w:p>
    <w:sectPr>
      <w:headerReference w:type="default" r:id="rId3"/>
      <w:headerReference w:type="first" r:id="rId4"/>
      <w:type w:val="nextPage"/>
      <w:pgSz w:w="12240" w:h="15840"/>
      <w:pgMar w:left="1728" w:right="1728" w:gutter="0" w:header="720" w:top="1440" w:footer="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Wingdings">
    <w:charset w:val="02"/>
    <w:family w:val="auto"/>
    <w:pitch w:val="variable"/>
  </w:font>
  <w:font w:name="Tms Rmn">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rPr>
    </w:pPr>
    <w:r>
      <w:rPr>
        <w:rFonts w:cs="Arial" w:ascii="Arial" w:hAnsi="Arial"/>
      </w:rPr>
      <w:t>Memorandum</w:t>
    </w:r>
  </w:p>
  <w:p>
    <w:pPr>
      <w:pStyle w:val="Header"/>
      <w:tabs>
        <w:tab w:val="left" w:pos="540" w:leader="none"/>
        <w:tab w:val="center" w:pos="4320" w:leader="none"/>
        <w:tab w:val="right" w:pos="8640" w:leader="none"/>
      </w:tabs>
      <w:rPr>
        <w:rFonts w:ascii="Arial" w:hAnsi="Arial" w:cs="Arial"/>
      </w:rPr>
    </w:pPr>
    <w:r>
      <w:rPr>
        <w:rFonts w:cs="Arial" w:ascii="Arial" w:hAnsi="Arial"/>
      </w:rPr>
      <w:t>Re:</w:t>
      <w:tab/>
      <w:t>Noncompetition Agreement;</w:t>
    </w:r>
  </w:p>
  <w:p>
    <w:pPr>
      <w:pStyle w:val="Header"/>
      <w:tabs>
        <w:tab w:val="left" w:pos="540" w:leader="none"/>
        <w:tab w:val="center" w:pos="4320" w:leader="none"/>
        <w:tab w:val="right" w:pos="8640" w:leader="none"/>
      </w:tabs>
      <w:rPr>
        <w:rFonts w:ascii="Arial" w:hAnsi="Arial" w:cs="Arial"/>
      </w:rPr>
    </w:pPr>
    <w:r>
      <w:rPr>
        <w:rFonts w:cs="Arial" w:ascii="Arial" w:hAnsi="Arial"/>
      </w:rPr>
      <w:tab/>
      <w:t>Affecting Residential Business</w:t>
    </w:r>
  </w:p>
  <w:p>
    <w:pPr>
      <w:pStyle w:val="Header"/>
      <w:rPr>
        <w:rFonts w:ascii="Arial" w:hAnsi="Arial" w:cs="Arial"/>
      </w:rPr>
    </w:pPr>
    <w:r>
      <w:rPr>
        <w:rFonts w:cs="Arial" w:ascii="Arial" w:hAnsi="Arial"/>
      </w:rPr>
      <w:t>February 1, 2000</w:t>
    </w:r>
  </w:p>
  <w:p>
    <w:pPr>
      <w:pStyle w:val="Header"/>
      <w:rPr>
        <w:rFonts w:ascii="Arial" w:hAnsi="Arial" w:cs="Arial"/>
      </w:rPr>
    </w:pPr>
    <w:r>
      <w:rPr>
        <w:rFonts w:cs="Arial" w:ascii="Arial" w:hAnsi="Arial"/>
      </w:rPr>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3</w:t>
    </w:r>
    <w:r>
      <w:rPr>
        <w:rStyle w:val="PageNumber"/>
        <w:rFonts w:cs="Arial" w:ascii="Arial" w:hAnsi="Arial"/>
      </w:rPr>
      <w:fldChar w:fldCharType="end"/>
    </w:r>
    <w:r>
      <w:rPr>
        <w:rStyle w:val="PageNumber"/>
        <w:rFonts w:cs="Arial" w:ascii="Arial" w:hAnsi="Arial"/>
      </w:rPr>
      <w:t xml:space="preserve"> of 3</w:t>
    </w:r>
  </w:p>
  <w:p>
    <w:pPr>
      <w:pStyle w:val="Header"/>
      <w:rPr>
        <w:rFonts w:ascii="Arial" w:hAnsi="Arial" w:cs="Arial"/>
      </w:rPr>
    </w:pPr>
    <w:r>
      <w:rPr>
        <w:rFonts w:cs="Arial" w:ascii="Arial" w:hAnsi="Arial"/>
      </w:rPr>
    </w:r>
  </w:p>
  <w:p>
    <w:pPr>
      <w:pStyle w:val="Header"/>
      <w:rPr>
        <w:rFonts w:ascii="Arial" w:hAnsi="Arial" w:cs="Arial"/>
      </w:rPr>
    </w:pPr>
    <w:r>
      <w:rPr>
        <w:rFonts w:cs="Arial" w:ascii="Arial" w:hAnsi="Arial"/>
      </w:rPr>
    </w:r>
  </w:p>
  <w:p>
    <w:pPr>
      <w:pStyle w:val="Header"/>
      <w:rPr>
        <w:rFonts w:ascii="Arial" w:hAnsi="Arial" w:cs="Arial"/>
      </w:rPr>
    </w:pPr>
    <w:r>
      <w:rPr>
        <w:rFonts w:cs="Arial" w:ascii="Arial" w:hAnsi="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sz w:val="16"/>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pPr>
    <w:rPr>
      <w:rFonts w:ascii="Arial Narrow" w:hAnsi="Arial Narrow" w:eastAsia="Times New Roman" w:cs="Arial Narrow"/>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WW8Num1z0">
    <w:name w:val="WW8Num1z0"/>
    <w:qFormat/>
    <w:rPr/>
  </w:style>
  <w:style w:type="character" w:styleId="WW8Num2z0">
    <w:name w:val="WW8Num2z0"/>
    <w:qFormat/>
    <w:rPr>
      <w:rFonts w:ascii="Symbol" w:hAnsi="Symbol" w:cs="Symbol"/>
      <w:color w:val="auto"/>
    </w:rPr>
  </w:style>
  <w:style w:type="character" w:styleId="WW8Num3z0">
    <w:name w:val="WW8Num3z0"/>
    <w:qFormat/>
    <w:rPr/>
  </w:style>
  <w:style w:type="character" w:styleId="WW8Num4z0">
    <w:name w:val="WW8Num4z0"/>
    <w:qFormat/>
    <w:rPr>
      <w:rFonts w:ascii="Symbol" w:hAnsi="Symbol" w:cs="Symbol"/>
      <w:color w:val="auto"/>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Wingdings" w:hAnsi="Wingdings" w:cs="Wingdings"/>
      <w:sz w:val="16"/>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paragraph" w:styleId="Heading">
    <w:name w:val="Heading"/>
    <w:basedOn w:val="Normal"/>
    <w:next w:val="BodyText"/>
    <w:qFormat/>
    <w:pPr>
      <w:spacing w:lineRule="auto" w:line="240"/>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Tms Rmn" w:hAnsi="Tms Rmn" w:cs="Tms Rmn"/>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suppressAutoHyphens w:val="true"/>
      <w:spacing w:lineRule="auto" w:line="254"/>
      <w:ind w:firstLine="720" w:start="0" w:end="14"/>
      <w:jc w:val="both"/>
    </w:pPr>
    <w:rPr>
      <w:rFonts w:ascii="Arial" w:hAnsi="Arial" w:cs="Arial"/>
      <w:color w:val="000000"/>
      <w:spacing w:val="-3"/>
      <w:sz w:val="22"/>
    </w:rPr>
  </w:style>
  <w:style w:type="paragraph" w:styleId="BlockText">
    <w:name w:val="Block Text"/>
    <w:basedOn w:val="Normal"/>
    <w:qFormat/>
    <w:pPr>
      <w:suppressAutoHyphens w:val="true"/>
      <w:spacing w:lineRule="auto" w:line="254"/>
      <w:ind w:hanging="720" w:start="1440" w:end="14"/>
      <w:jc w:val="both"/>
    </w:pPr>
    <w:rPr>
      <w:rFonts w:ascii="Arial" w:hAnsi="Arial" w:cs="Arial"/>
      <w:color w:val="000000"/>
      <w:spacing w:val="-3"/>
      <w:sz w:val="22"/>
    </w:rPr>
  </w:style>
  <w:style w:type="paragraph" w:styleId="BodyTextIndent2">
    <w:name w:val="Body Text Indent 2"/>
    <w:basedOn w:val="Normal"/>
    <w:qFormat/>
    <w:pPr>
      <w:spacing w:lineRule="auto" w:line="240"/>
      <w:ind w:hanging="720" w:start="720" w:end="0"/>
      <w:jc w:val="both"/>
    </w:pPr>
    <w:rPr>
      <w:rFonts w:ascii="Arial" w:hAnsi="Arial" w:cs="Arial"/>
      <w:sz w:val="24"/>
    </w:rPr>
  </w:style>
  <w:style w:type="paragraph" w:styleId="EndnoteText">
    <w:name w:val="endnote text"/>
    <w:basedOn w:val="Normal"/>
    <w:pPr>
      <w:spacing w:lineRule="auto" w:line="240"/>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2000-02-01T15:18:00Z</dcterms:created>
  <dc:creator>Robert Eickenroht</dc:creator>
  <dc:description/>
  <dc:language>en-CA</dc:language>
  <cp:lastModifiedBy>reicken</cp:lastModifiedBy>
  <cp:lastPrinted>2000-02-01T11:52:00Z</cp:lastPrinted>
  <dcterms:modified xsi:type="dcterms:W3CDTF">2000-02-01T15:45:00Z</dcterms:modified>
  <cp:revision>4</cp:revision>
  <dc:subject/>
  <dc:title> </dc:title>
</cp:coreProperties>
</file>