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EMW ENERGY SERVICES CORP.</w:t>
      </w:r>
    </w:p>
    <w:p>
      <w:pPr>
        <w:pStyle w:val="Normal"/>
        <w:jc w:val="center"/>
        <w:rPr/>
      </w:pPr>
      <w:r>
        <w:rPr>
          <w:rFonts w:cs="Arial" w:ascii="Arial" w:hAnsi="Arial"/>
          <w:b/>
          <w:sz w:val="22"/>
        </w:rPr>
        <w:t>(R</w:t>
      </w:r>
      <w:r>
        <w:rPr>
          <w:rFonts w:cs="Arial" w:ascii="Arial" w:hAnsi="Arial"/>
          <w:b/>
          <w:smallCaps/>
          <w:sz w:val="22"/>
        </w:rPr>
        <w:t>esidential Business Noncompete)</w:t>
      </w:r>
    </w:p>
    <w:p>
      <w:pPr>
        <w:pStyle w:val="Heading"/>
        <w:rPr>
          <w:rFonts w:ascii="Arial" w:hAnsi="Arial" w:cs="Arial"/>
          <w:b w:val="false"/>
          <w:caps w:val="false"/>
          <w:smallCaps w:val="false"/>
          <w:sz w:val="22"/>
        </w:rPr>
      </w:pPr>
      <w:r>
        <w:rPr>
          <w:rFonts w:cs="Arial"/>
          <w:b w:val="false"/>
          <w:caps w:val="false"/>
          <w:smallCaps w:val="false"/>
          <w:sz w:val="22"/>
        </w:rPr>
      </w:r>
    </w:p>
    <w:p>
      <w:pPr>
        <w:pStyle w:val="Heading"/>
        <w:rPr>
          <w:sz w:val="22"/>
        </w:rPr>
      </w:pPr>
      <w:r>
        <w:rPr>
          <w:sz w:val="22"/>
        </w:rPr>
        <w:t>Summary of Noncompetition Provisions Affecting</w:t>
      </w:r>
    </w:p>
    <w:p>
      <w:pPr>
        <w:pStyle w:val="Heading"/>
        <w:rPr>
          <w:sz w:val="22"/>
        </w:rPr>
      </w:pPr>
      <w:r>
        <w:rPr>
          <w:sz w:val="22"/>
        </w:rPr>
        <w:t>Enron Corp., Enron Energy Services, LLC and Their Controlled Affiliates</w:t>
      </w:r>
    </w:p>
    <w:p>
      <w:pPr>
        <w:pStyle w:val="Heading"/>
        <w:rPr>
          <w:sz w:val="22"/>
        </w:rPr>
      </w:pPr>
      <w:r>
        <w:rPr>
          <w:sz w:val="22"/>
        </w:rPr>
      </w:r>
    </w:p>
    <w:p>
      <w:pPr>
        <w:pStyle w:val="Normal"/>
        <w:jc w:val="center"/>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I.</w:t>
        <w:tab/>
      </w:r>
      <w:r>
        <w:rPr>
          <w:rFonts w:cs="Arial" w:ascii="Arial" w:hAnsi="Arial"/>
          <w:sz w:val="22"/>
          <w:u w:val="single"/>
        </w:rPr>
        <w:t>Covenant Not to Compete</w:t>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 w:val="left" w:pos="3060" w:leader="none"/>
        </w:tabs>
        <w:ind w:hanging="2340" w:start="3060" w:end="0"/>
        <w:jc w:val="both"/>
        <w:rPr>
          <w:rFonts w:ascii="Arial" w:hAnsi="Arial" w:cs="Arial"/>
          <w:sz w:val="22"/>
        </w:rPr>
      </w:pPr>
      <w:r>
        <w:rPr>
          <w:rFonts w:cs="Arial" w:ascii="Arial" w:hAnsi="Arial"/>
          <w:sz w:val="22"/>
        </w:rPr>
        <w:t>A.</w:t>
        <w:tab/>
      </w:r>
      <w:r>
        <w:rPr>
          <w:rFonts w:cs="Arial" w:ascii="Arial" w:hAnsi="Arial"/>
          <w:sz w:val="22"/>
          <w:u w:val="single"/>
        </w:rPr>
        <w:t>Parties Bound</w:t>
      </w:r>
      <w:r>
        <w:rPr>
          <w:rFonts w:cs="Arial" w:ascii="Arial" w:hAnsi="Arial"/>
          <w:sz w:val="22"/>
        </w:rPr>
        <w:t>:</w:t>
        <w:tab/>
        <w:t>Enron Corp. (“Enron”), Enron Energy Services, LLC (“EES) and their respective Controlled Affiliates</w:t>
      </w:r>
      <w:r>
        <w:rPr>
          <w:rStyle w:val="EndnoteCharacters"/>
          <w:rStyle w:val="EndnoteReference"/>
          <w:rFonts w:cs="Arial" w:ascii="Arial" w:hAnsi="Arial"/>
          <w:sz w:val="22"/>
        </w:rPr>
        <w:endnoteReference w:id="2"/>
      </w:r>
    </w:p>
    <w:p>
      <w:pPr>
        <w:pStyle w:val="Normal"/>
        <w:tabs>
          <w:tab w:val="clear" w:pos="720"/>
          <w:tab w:val="left" w:pos="1440" w:leader="none"/>
          <w:tab w:val="left" w:pos="3060" w:leader="none"/>
        </w:tabs>
        <w:ind w:hanging="2340" w:start="3060" w:end="0"/>
        <w:jc w:val="both"/>
        <w:rPr>
          <w:rFonts w:ascii="Arial" w:hAnsi="Arial" w:cs="Arial"/>
          <w:sz w:val="22"/>
        </w:rPr>
      </w:pPr>
      <w:r>
        <w:rPr>
          <w:rFonts w:cs="Arial" w:ascii="Arial" w:hAnsi="Arial"/>
          <w:sz w:val="22"/>
        </w:rPr>
      </w:r>
    </w:p>
    <w:p>
      <w:pPr>
        <w:pStyle w:val="Normal"/>
        <w:tabs>
          <w:tab w:val="clear" w:pos="720"/>
          <w:tab w:val="left" w:pos="1440" w:leader="none"/>
          <w:tab w:val="left" w:pos="3060" w:leader="none"/>
        </w:tabs>
        <w:ind w:hanging="2340" w:start="3060" w:end="0"/>
        <w:jc w:val="both"/>
        <w:rPr/>
      </w:pPr>
      <w:r>
        <w:rPr>
          <w:rFonts w:cs="Arial" w:ascii="Arial" w:hAnsi="Arial"/>
          <w:sz w:val="22"/>
        </w:rPr>
        <w:t>B.</w:t>
        <w:tab/>
      </w:r>
      <w:r>
        <w:rPr>
          <w:rFonts w:cs="Arial" w:ascii="Arial" w:hAnsi="Arial"/>
          <w:sz w:val="22"/>
          <w:u w:val="single"/>
        </w:rPr>
        <w:t>Beneficiary</w:t>
      </w:r>
      <w:r>
        <w:rPr>
          <w:rFonts w:cs="Arial" w:ascii="Arial" w:hAnsi="Arial"/>
          <w:sz w:val="22"/>
        </w:rPr>
        <w:t>:</w:t>
        <w:tab/>
        <w:t>EMW Energy Services Corp. (“EMW”)</w:t>
      </w:r>
    </w:p>
    <w:p>
      <w:pPr>
        <w:pStyle w:val="Normal"/>
        <w:ind w:firstLine="720" w:end="0"/>
        <w:jc w:val="both"/>
        <w:rPr>
          <w:rFonts w:ascii="Arial" w:hAnsi="Arial" w:cs="Arial"/>
          <w:sz w:val="22"/>
        </w:rPr>
      </w:pPr>
      <w:r>
        <w:rPr>
          <w:rFonts w:cs="Arial" w:ascii="Arial" w:hAnsi="Arial"/>
          <w:sz w:val="22"/>
        </w:rPr>
      </w:r>
    </w:p>
    <w:p>
      <w:pPr>
        <w:pStyle w:val="Normal"/>
        <w:tabs>
          <w:tab w:val="clear" w:pos="720"/>
          <w:tab w:val="left" w:pos="1440" w:leader="none"/>
        </w:tabs>
        <w:ind w:hanging="1440" w:start="2160" w:end="0"/>
        <w:jc w:val="both"/>
        <w:rPr/>
      </w:pPr>
      <w:r>
        <w:rPr>
          <w:rFonts w:cs="Arial" w:ascii="Arial" w:hAnsi="Arial"/>
          <w:sz w:val="22"/>
        </w:rPr>
        <w:t>C.</w:t>
        <w:tab/>
      </w:r>
      <w:r>
        <w:rPr>
          <w:rFonts w:cs="Arial" w:ascii="Arial" w:hAnsi="Arial"/>
          <w:sz w:val="22"/>
          <w:u w:val="single"/>
        </w:rPr>
        <w:t>Term</w:t>
      </w:r>
      <w:r>
        <w:rPr>
          <w:rFonts w:cs="Arial" w:ascii="Arial" w:hAnsi="Arial"/>
          <w:sz w:val="22"/>
        </w:rPr>
        <w:t>:</w:t>
        <w:tab/>
        <w:t>5 years (beginning January 6, 2000 and ending January 6, 2005), subject to earlier termination (the “Noncompetition Period”)</w:t>
      </w:r>
    </w:p>
    <w:p>
      <w:pPr>
        <w:pStyle w:val="Normal"/>
        <w:ind w:firstLine="720" w:end="0"/>
        <w:jc w:val="both"/>
        <w:rPr>
          <w:rFonts w:ascii="Arial" w:hAnsi="Arial" w:cs="Arial"/>
          <w:sz w:val="22"/>
          <w:u w:val="single"/>
        </w:rPr>
      </w:pPr>
      <w:r>
        <w:rPr>
          <w:rFonts w:cs="Arial" w:ascii="Arial" w:hAnsi="Arial"/>
          <w:sz w:val="22"/>
          <w:u w:val="single"/>
        </w:rPr>
      </w:r>
    </w:p>
    <w:p>
      <w:pPr>
        <w:pStyle w:val="Normal"/>
        <w:suppressAutoHyphens w:val="true"/>
        <w:ind w:hanging="720" w:start="1440" w:end="0"/>
        <w:jc w:val="both"/>
        <w:rPr/>
      </w:pPr>
      <w:r>
        <w:rPr>
          <w:rFonts w:cs="Arial" w:ascii="Arial" w:hAnsi="Arial"/>
          <w:sz w:val="22"/>
        </w:rPr>
        <w:t>D.</w:t>
        <w:tab/>
      </w:r>
      <w:r>
        <w:rPr>
          <w:rFonts w:cs="Arial" w:ascii="Arial" w:hAnsi="Arial"/>
          <w:sz w:val="22"/>
          <w:u w:val="single"/>
        </w:rPr>
        <w:t>Earlier Termination</w:t>
      </w:r>
      <w:r>
        <w:rPr>
          <w:rFonts w:cs="Arial" w:ascii="Arial" w:hAnsi="Arial"/>
          <w:sz w:val="22"/>
        </w:rPr>
        <w:t>:</w:t>
      </w:r>
    </w:p>
    <w:p>
      <w:pPr>
        <w:pStyle w:val="Normal"/>
        <w:suppressAutoHyphens w:val="true"/>
        <w:ind w:hanging="720" w:start="1440" w:end="0"/>
        <w:jc w:val="both"/>
        <w:rPr>
          <w:rFonts w:ascii="Arial" w:hAnsi="Arial" w:cs="Arial"/>
          <w:sz w:val="22"/>
          <w:u w:val="single"/>
        </w:rPr>
      </w:pPr>
      <w:r>
        <w:rPr>
          <w:rFonts w:cs="Arial" w:ascii="Arial" w:hAnsi="Arial"/>
          <w:sz w:val="22"/>
          <w:u w:val="single"/>
        </w:rPr>
      </w:r>
    </w:p>
    <w:p>
      <w:pPr>
        <w:pStyle w:val="Normal"/>
        <w:suppressAutoHyphens w:val="true"/>
        <w:ind w:hanging="720" w:start="2160" w:end="0"/>
        <w:jc w:val="both"/>
        <w:rPr/>
      </w:pPr>
      <w:r>
        <w:rPr>
          <w:rFonts w:cs="Arial" w:ascii="Arial" w:hAnsi="Arial"/>
          <w:sz w:val="22"/>
        </w:rPr>
        <w:t>1.</w:t>
        <w:tab/>
      </w:r>
      <w:r>
        <w:rPr>
          <w:rFonts w:cs="Arial" w:ascii="Arial" w:hAnsi="Arial"/>
          <w:sz w:val="22"/>
          <w:u w:val="single"/>
        </w:rPr>
        <w:t>Selldown of Enron’s Interest in EMW</w:t>
      </w:r>
      <w:r>
        <w:rPr>
          <w:rFonts w:cs="Arial" w:ascii="Arial" w:hAnsi="Arial"/>
          <w:sz w:val="22"/>
        </w:rPr>
        <w:t>.  The Noncompete automatically terminates at any time following January 6, 2003 and prior to January 6, 2005 in the event that both of the following tests are satisfied:</w:t>
      </w:r>
    </w:p>
    <w:p>
      <w:pPr>
        <w:pStyle w:val="Normal"/>
        <w:suppressAutoHyphens w:val="true"/>
        <w:ind w:firstLine="720" w:end="0"/>
        <w:jc w:val="both"/>
        <w:rPr>
          <w:rFonts w:ascii="Arial" w:hAnsi="Arial" w:cs="Arial"/>
          <w:sz w:val="22"/>
        </w:rPr>
      </w:pPr>
      <w:r>
        <w:rPr>
          <w:rFonts w:cs="Arial" w:ascii="Arial" w:hAnsi="Arial"/>
          <w:sz w:val="22"/>
        </w:rPr>
      </w:r>
    </w:p>
    <w:p>
      <w:pPr>
        <w:pStyle w:val="Normal"/>
        <w:suppressAutoHyphens w:val="true"/>
        <w:ind w:hanging="720" w:start="2880" w:end="0"/>
        <w:jc w:val="both"/>
        <w:rPr/>
      </w:pPr>
      <w:r>
        <w:rPr>
          <w:rFonts w:cs="Arial" w:ascii="Arial" w:hAnsi="Arial"/>
          <w:sz w:val="22"/>
        </w:rPr>
        <w:t>(a)</w:t>
        <w:tab/>
        <w:t>Enron and its Controlled Affiliates cease to, individually or collectively, directly or indirectly, hold at any time the beneficial interest in and to at least 15% of the aggregate number of shares of the then issued and outstanding EMW Common Stock</w:t>
      </w:r>
      <w:r>
        <w:rPr>
          <w:rStyle w:val="EndnoteCharacters"/>
          <w:rStyle w:val="EndnoteReference"/>
          <w:rFonts w:cs="Arial" w:ascii="Arial" w:hAnsi="Arial"/>
          <w:sz w:val="22"/>
        </w:rPr>
        <w:endnoteReference w:id="3"/>
      </w:r>
      <w:r>
        <w:rPr>
          <w:rFonts w:cs="Arial" w:ascii="Arial" w:hAnsi="Arial"/>
          <w:sz w:val="22"/>
        </w:rPr>
        <w:t xml:space="preserve"> calculated on a fully-diluted basis;</w:t>
      </w:r>
      <w:r>
        <w:rPr>
          <w:rStyle w:val="EndnoteCharacters"/>
          <w:rStyle w:val="EndnoteReference"/>
          <w:rFonts w:cs="Arial" w:ascii="Arial" w:hAnsi="Arial"/>
          <w:sz w:val="22"/>
        </w:rPr>
        <w:endnoteReference w:id="4"/>
      </w:r>
      <w:r>
        <w:rPr>
          <w:rFonts w:cs="Arial" w:ascii="Arial" w:hAnsi="Arial"/>
          <w:sz w:val="22"/>
        </w:rPr>
        <w:t xml:space="preserve"> and</w:t>
      </w:r>
    </w:p>
    <w:p>
      <w:pPr>
        <w:pStyle w:val="Normal"/>
        <w:suppressAutoHyphens w:val="true"/>
        <w:ind w:firstLine="720" w:start="720" w:end="0"/>
        <w:jc w:val="both"/>
        <w:rPr>
          <w:rFonts w:ascii="Arial" w:hAnsi="Arial" w:cs="Arial"/>
          <w:sz w:val="22"/>
        </w:rPr>
      </w:pPr>
      <w:r>
        <w:rPr>
          <w:rFonts w:cs="Arial" w:ascii="Arial" w:hAnsi="Arial"/>
          <w:sz w:val="22"/>
        </w:rPr>
      </w:r>
    </w:p>
    <w:p>
      <w:pPr>
        <w:pStyle w:val="Normal"/>
        <w:ind w:hanging="720" w:start="2880" w:end="0"/>
        <w:jc w:val="both"/>
        <w:rPr>
          <w:rFonts w:ascii="Arial" w:hAnsi="Arial" w:cs="Arial"/>
          <w:sz w:val="22"/>
        </w:rPr>
      </w:pPr>
      <w:r>
        <w:rPr>
          <w:rFonts w:cs="Arial" w:ascii="Arial" w:hAnsi="Arial"/>
          <w:sz w:val="22"/>
        </w:rPr>
        <w:t>(b)</w:t>
        <w:tab/>
        <w:t>Fewer than 15% of the directors of EMW are Persons who are employees, officers or directors of Enron or any of its Controlled Affiliates.</w:t>
      </w:r>
    </w:p>
    <w:p>
      <w:pPr>
        <w:pStyle w:val="Normal"/>
        <w:jc w:val="both"/>
        <w:rPr>
          <w:rFonts w:ascii="Arial" w:hAnsi="Arial" w:cs="Arial"/>
          <w:sz w:val="22"/>
        </w:rPr>
      </w:pPr>
      <w:r>
        <w:rPr>
          <w:rFonts w:cs="Arial" w:ascii="Arial" w:hAnsi="Arial"/>
          <w:sz w:val="22"/>
        </w:rPr>
      </w:r>
    </w:p>
    <w:p>
      <w:pPr>
        <w:pStyle w:val="Normal"/>
        <w:ind w:hanging="720" w:start="2160" w:end="0"/>
        <w:jc w:val="both"/>
        <w:rPr/>
      </w:pPr>
      <w:r>
        <w:rPr>
          <w:rFonts w:cs="Arial" w:ascii="Arial" w:hAnsi="Arial"/>
          <w:sz w:val="22"/>
        </w:rPr>
        <w:t>2.</w:t>
        <w:tab/>
      </w:r>
      <w:r>
        <w:rPr>
          <w:rFonts w:cs="Arial" w:ascii="Arial" w:hAnsi="Arial"/>
          <w:sz w:val="22"/>
          <w:u w:val="single"/>
        </w:rPr>
        <w:t>Disposition of EES</w:t>
      </w:r>
      <w:r>
        <w:rPr>
          <w:rFonts w:cs="Arial" w:ascii="Arial" w:hAnsi="Arial"/>
          <w:sz w:val="22"/>
        </w:rPr>
        <w:t xml:space="preserve">.  With respect to EES (but not as to Enron), at such time as EES ceases to be a Controlled Affiliate of Enron and </w:t>
      </w:r>
      <w:r>
        <w:rPr>
          <w:rFonts w:cs="Arial" w:ascii="Arial" w:hAnsi="Arial"/>
          <w:i/>
          <w:sz w:val="22"/>
        </w:rPr>
        <w:t>provided</w:t>
      </w:r>
      <w:r>
        <w:rPr>
          <w:rFonts w:cs="Arial" w:ascii="Arial" w:hAnsi="Arial"/>
          <w:sz w:val="22"/>
        </w:rPr>
        <w:t xml:space="preserve"> that all Equity Securities</w:t>
      </w:r>
      <w:r>
        <w:rPr>
          <w:rStyle w:val="EndnoteCharacters"/>
          <w:rStyle w:val="EndnoteReference"/>
          <w:rFonts w:cs="Arial" w:ascii="Arial" w:hAnsi="Arial"/>
          <w:sz w:val="22"/>
        </w:rPr>
        <w:endnoteReference w:id="5"/>
      </w:r>
      <w:r>
        <w:rPr>
          <w:rFonts w:cs="Arial" w:ascii="Arial" w:hAnsi="Arial"/>
          <w:sz w:val="22"/>
        </w:rPr>
        <w:t xml:space="preserve"> of EMW then held by EES, if any, are transferred to Enron or one or more Controlled Affiliates of Enron at such time.</w:t>
      </w:r>
    </w:p>
    <w:p>
      <w:pPr>
        <w:pStyle w:val="Normal"/>
        <w:ind w:start="720" w:end="0"/>
        <w:jc w:val="both"/>
        <w:rPr>
          <w:rFonts w:ascii="Arial" w:hAnsi="Arial" w:cs="Arial"/>
          <w:sz w:val="22"/>
        </w:rPr>
      </w:pPr>
      <w:r>
        <w:rPr>
          <w:rFonts w:cs="Arial" w:ascii="Arial" w:hAnsi="Arial"/>
          <w:sz w:val="22"/>
        </w:rPr>
      </w:r>
    </w:p>
    <w:p>
      <w:pPr>
        <w:pStyle w:val="Normal"/>
        <w:ind w:hanging="720" w:start="2160" w:end="0"/>
        <w:jc w:val="both"/>
        <w:rPr>
          <w:rFonts w:ascii="Arial" w:hAnsi="Arial" w:cs="Arial"/>
          <w:sz w:val="22"/>
        </w:rPr>
      </w:pPr>
      <w:r>
        <w:rPr>
          <w:rFonts w:cs="Arial" w:ascii="Arial" w:hAnsi="Arial"/>
          <w:sz w:val="22"/>
        </w:rPr>
        <w:t>3.</w:t>
        <w:tab/>
      </w:r>
      <w:r>
        <w:rPr>
          <w:rFonts w:cs="Arial" w:ascii="Arial" w:hAnsi="Arial"/>
          <w:sz w:val="22"/>
          <w:u w:val="single"/>
        </w:rPr>
        <w:t>Change of Control of Enron</w:t>
      </w:r>
    </w:p>
    <w:p>
      <w:pPr>
        <w:pStyle w:val="Normal"/>
        <w:ind w:hanging="720" w:start="2160" w:end="0"/>
        <w:jc w:val="both"/>
        <w:rPr>
          <w:rFonts w:ascii="Arial" w:hAnsi="Arial" w:cs="Arial"/>
          <w:sz w:val="22"/>
        </w:rPr>
      </w:pPr>
      <w:r>
        <w:rPr>
          <w:rFonts w:cs="Arial" w:ascii="Arial" w:hAnsi="Arial"/>
          <w:sz w:val="22"/>
        </w:rPr>
      </w:r>
    </w:p>
    <w:p>
      <w:pPr>
        <w:pStyle w:val="Normal"/>
        <w:ind w:hanging="720" w:start="2880" w:end="0"/>
        <w:jc w:val="both"/>
        <w:rPr/>
      </w:pPr>
      <w:r>
        <w:rPr>
          <w:rFonts w:cs="Arial" w:ascii="Arial" w:hAnsi="Arial"/>
          <w:sz w:val="22"/>
        </w:rPr>
        <w:t>(a)</w:t>
        <w:tab/>
        <w:t>In the event of a Change of Control</w:t>
      </w:r>
      <w:r>
        <w:rPr>
          <w:rStyle w:val="EndnoteCharacters"/>
          <w:rStyle w:val="EndnoteReference"/>
          <w:rFonts w:cs="Arial" w:ascii="Arial" w:hAnsi="Arial"/>
          <w:sz w:val="22"/>
        </w:rPr>
        <w:endnoteReference w:id="6"/>
      </w:r>
      <w:r>
        <w:rPr>
          <w:rFonts w:cs="Arial" w:ascii="Arial" w:hAnsi="Arial"/>
          <w:sz w:val="22"/>
        </w:rPr>
        <w:t xml:space="preserve"> of Enron that occurs after an IPO</w:t>
      </w:r>
      <w:r>
        <w:rPr>
          <w:rStyle w:val="EndnoteCharacters"/>
          <w:rStyle w:val="EndnoteReference"/>
          <w:rFonts w:cs="Arial" w:ascii="Arial" w:hAnsi="Arial"/>
          <w:sz w:val="22"/>
        </w:rPr>
        <w:endnoteReference w:id="7"/>
      </w:r>
      <w:r>
        <w:rPr>
          <w:rFonts w:cs="Arial" w:ascii="Arial" w:hAnsi="Arial"/>
          <w:sz w:val="22"/>
        </w:rPr>
        <w:t xml:space="preserve"> of EMW, the Noncompete terminates and is of no force or effect immediately upon such Change of Control.  In the event of a Change of Control of Enron that occurs prior to an IPO of EMW, the surviving Person in any merger or consolidation that results in such Change of Control (the “Surviving Person”), whether or not such Surviving Person is Enron, will continue to be subject to the Noncompete as if the Surviving Person were Enron, unless such Surviving Person makes an offer to purchase the Initial Party Securities</w:t>
      </w:r>
      <w:r>
        <w:rPr>
          <w:rStyle w:val="EndnoteCharacters"/>
          <w:rStyle w:val="EndnoteReference"/>
          <w:rFonts w:cs="Arial" w:ascii="Arial" w:hAnsi="Arial"/>
          <w:sz w:val="22"/>
        </w:rPr>
        <w:endnoteReference w:id="8"/>
      </w:r>
      <w:r>
        <w:rPr>
          <w:rFonts w:cs="Arial" w:ascii="Arial" w:hAnsi="Arial"/>
          <w:sz w:val="22"/>
        </w:rPr>
        <w:t xml:space="preserve"> in the manner and on the terms set forth in Section 2.5 of the Noncompete, in which case the Noncompete shall terminate and be of no force or effect as of such Change of Control, subject to the Surviving Person complying with such provisions, and regardless of whether or not any of the Initial Party Securities are tendered and purchased pursuant to the offer made by the Surviving Person.</w:t>
      </w:r>
    </w:p>
    <w:p>
      <w:pPr>
        <w:pStyle w:val="Normal"/>
        <w:ind w:hanging="720" w:start="2880" w:end="0"/>
        <w:jc w:val="both"/>
        <w:rPr>
          <w:rFonts w:ascii="Arial" w:hAnsi="Arial" w:cs="Arial"/>
          <w:sz w:val="22"/>
        </w:rPr>
      </w:pPr>
      <w:r>
        <w:rPr>
          <w:rFonts w:cs="Arial" w:ascii="Arial" w:hAnsi="Arial"/>
          <w:sz w:val="22"/>
        </w:rPr>
      </w:r>
    </w:p>
    <w:p>
      <w:pPr>
        <w:pStyle w:val="Normal"/>
        <w:ind w:hanging="720" w:start="2880" w:end="0"/>
        <w:jc w:val="both"/>
        <w:rPr/>
      </w:pPr>
      <w:r>
        <w:rPr>
          <w:rFonts w:cs="Arial" w:ascii="Arial" w:hAnsi="Arial"/>
          <w:sz w:val="22"/>
        </w:rPr>
        <w:t>(b)</w:t>
        <w:tab/>
        <w:t>If the Surviving Person elects to comply with the foregoing provisions, it will by written notice to each of the Holders</w:t>
      </w:r>
      <w:r>
        <w:rPr>
          <w:rStyle w:val="EndnoteCharacters"/>
          <w:rStyle w:val="EndnoteReference"/>
          <w:rFonts w:cs="Arial" w:ascii="Arial" w:hAnsi="Arial"/>
          <w:sz w:val="22"/>
        </w:rPr>
        <w:endnoteReference w:id="9"/>
      </w:r>
      <w:r>
        <w:rPr>
          <w:rFonts w:cs="Arial" w:ascii="Arial" w:hAnsi="Arial"/>
          <w:sz w:val="22"/>
        </w:rPr>
        <w:t xml:space="preserve"> (given in the manner set forth in the Stockholders Agreement</w:t>
      </w:r>
      <w:r>
        <w:rPr>
          <w:rStyle w:val="EndnoteCharacters"/>
          <w:rStyle w:val="EndnoteReference"/>
          <w:rFonts w:cs="Arial" w:ascii="Arial" w:hAnsi="Arial"/>
          <w:sz w:val="22"/>
        </w:rPr>
        <w:endnoteReference w:id="10"/>
      </w:r>
      <w:r>
        <w:rPr>
          <w:rFonts w:cs="Arial" w:ascii="Arial" w:hAnsi="Arial"/>
          <w:sz w:val="22"/>
        </w:rPr>
        <w:t>), make an offer (the “Change of Control Offer”) to purchase from each such Holder all, but not less than all, of the Initial Party Securities held by such Holder at the fair market value thereof (agreed or determined by an independent appraiser) (the “Change of Control Value”).  The Surviving Person shall make the Change of Control Offer as promptly as practicable after the consummation of the transaction resulting in the Change of Control.</w:t>
      </w:r>
    </w:p>
    <w:p>
      <w:pPr>
        <w:pStyle w:val="Normal"/>
        <w:ind w:hanging="720" w:start="2880" w:end="0"/>
        <w:jc w:val="both"/>
        <w:rPr>
          <w:rFonts w:ascii="Arial" w:hAnsi="Arial" w:cs="Arial"/>
          <w:sz w:val="22"/>
        </w:rPr>
      </w:pPr>
      <w:r>
        <w:rPr>
          <w:rFonts w:cs="Arial" w:ascii="Arial" w:hAnsi="Arial"/>
          <w:sz w:val="22"/>
        </w:rPr>
      </w:r>
    </w:p>
    <w:p>
      <w:pPr>
        <w:pStyle w:val="Normal"/>
        <w:ind w:hanging="720" w:start="2880" w:end="0"/>
        <w:jc w:val="both"/>
        <w:rPr>
          <w:rFonts w:ascii="Arial" w:hAnsi="Arial" w:cs="Arial"/>
          <w:sz w:val="22"/>
        </w:rPr>
      </w:pPr>
      <w:r>
        <w:rPr>
          <w:rFonts w:cs="Arial" w:ascii="Arial" w:hAnsi="Arial"/>
          <w:sz w:val="22"/>
        </w:rPr>
        <w:t>(c)</w:t>
        <w:tab/>
        <w:t>Reference is made to Section 2.5 of the Noncompete for the mechanics of the offer following a Change of Control, the attendant purchase rights, and other rights and obligations.</w:t>
      </w:r>
    </w:p>
    <w:p>
      <w:pPr>
        <w:pStyle w:val="Normal"/>
        <w:ind w:start="720" w:end="0"/>
        <w:jc w:val="both"/>
        <w:rPr>
          <w:rFonts w:ascii="Arial" w:hAnsi="Arial" w:cs="Arial"/>
          <w:sz w:val="22"/>
        </w:rPr>
      </w:pPr>
      <w:r>
        <w:rPr>
          <w:rFonts w:cs="Arial" w:ascii="Arial" w:hAnsi="Arial"/>
          <w:sz w:val="22"/>
        </w:rPr>
      </w:r>
    </w:p>
    <w:p>
      <w:pPr>
        <w:pStyle w:val="BodyTextIndent2"/>
        <w:tabs>
          <w:tab w:val="left" w:pos="360" w:leader="none"/>
          <w:tab w:val="left" w:pos="720" w:leader="none"/>
        </w:tabs>
        <w:ind w:hanging="1080" w:start="1440" w:end="0"/>
        <w:rPr/>
      </w:pPr>
      <w:r>
        <w:rPr>
          <w:rFonts w:eastAsia="Wingdings" w:cs="Wingdings" w:ascii="Wingdings" w:hAnsi="Wingdings"/>
          <w:sz w:val="22"/>
        </w:rPr>
        <w:sym w:font="Wingdings" w:char="f0ad"/>
      </w:r>
      <w:r>
        <w:rPr>
          <w:sz w:val="22"/>
        </w:rPr>
        <w:tab/>
        <w:t>E.</w:t>
        <w:tab/>
      </w:r>
      <w:r>
        <w:rPr>
          <w:sz w:val="22"/>
          <w:u w:val="single"/>
        </w:rPr>
        <w:t>Prohibited Business</w:t>
      </w:r>
      <w:r>
        <w:rPr>
          <w:sz w:val="22"/>
        </w:rPr>
        <w:t>: During the Noncompetition Period neither Enron, EES nor any of their respective Controlled Affiliates (which includes Cortez</w:t>
      </w:r>
      <w:r>
        <w:rPr>
          <w:rStyle w:val="EndnoteCharacters"/>
          <w:rStyle w:val="EndnoteReference"/>
          <w:sz w:val="22"/>
        </w:rPr>
        <w:endnoteReference w:id="11"/>
      </w:r>
      <w:r>
        <w:rPr>
          <w:sz w:val="22"/>
        </w:rPr>
        <w:t>) will (the following businesses or activities being the “Prohibited Business”):</w:t>
      </w:r>
    </w:p>
    <w:p>
      <w:pPr>
        <w:pStyle w:val="BodyTextIndent2"/>
        <w:ind w:firstLine="720" w:start="0" w:end="0"/>
        <w:rPr>
          <w:sz w:val="22"/>
        </w:rPr>
      </w:pPr>
      <w:r>
        <w:rPr>
          <w:sz w:val="22"/>
        </w:rPr>
      </w:r>
    </w:p>
    <w:p>
      <w:pPr>
        <w:pStyle w:val="BodyTextIndent2"/>
        <w:ind w:start="2160" w:end="0"/>
        <w:rPr/>
      </w:pPr>
      <w:r>
        <w:rPr>
          <w:sz w:val="22"/>
        </w:rPr>
        <w:t>1.</w:t>
        <w:tab/>
        <w:t>Enter into a contract or agreement directly with any natural Person</w:t>
      </w:r>
      <w:r>
        <w:rPr>
          <w:rStyle w:val="EndnoteCharacters"/>
          <w:rStyle w:val="EndnoteReference"/>
          <w:sz w:val="22"/>
        </w:rPr>
        <w:endnoteReference w:id="12"/>
      </w:r>
      <w:r>
        <w:rPr>
          <w:sz w:val="22"/>
        </w:rPr>
        <w:t xml:space="preserve"> (</w:t>
      </w:r>
      <w:r>
        <w:rPr>
          <w:i/>
          <w:sz w:val="22"/>
        </w:rPr>
        <w:t>i.e.,</w:t>
      </w:r>
      <w:r>
        <w:rPr>
          <w:sz w:val="22"/>
        </w:rPr>
        <w:t> individual) for the Retail</w:t>
      </w:r>
      <w:r>
        <w:rPr>
          <w:rStyle w:val="EndnoteCharacters"/>
          <w:rStyle w:val="EndnoteReference"/>
          <w:sz w:val="22"/>
        </w:rPr>
        <w:endnoteReference w:id="13"/>
      </w:r>
      <w:r>
        <w:rPr>
          <w:sz w:val="22"/>
        </w:rPr>
        <w:t xml:space="preserve"> sale of natural gas or electricity to such natural Person for his or her own account and not for commercial purposes in the United States</w:t>
      </w:r>
      <w:r>
        <w:rPr>
          <w:rStyle w:val="EndnoteCharacters"/>
          <w:rStyle w:val="EndnoteReference"/>
          <w:sz w:val="22"/>
        </w:rPr>
        <w:endnoteReference w:id="14"/>
      </w:r>
      <w:r>
        <w:rPr>
          <w:sz w:val="22"/>
        </w:rPr>
        <w:t xml:space="preserve"> (such natural Persons meeting the foregoing qualifications are referred to as “Residential Energy Customers”); or</w:t>
      </w:r>
    </w:p>
    <w:p>
      <w:pPr>
        <w:pStyle w:val="BodyTextIndent2"/>
        <w:ind w:start="2160" w:end="0"/>
        <w:rPr>
          <w:sz w:val="22"/>
        </w:rPr>
      </w:pPr>
      <w:r>
        <w:rPr>
          <w:sz w:val="22"/>
        </w:rPr>
      </w:r>
    </w:p>
    <w:p>
      <w:pPr>
        <w:pStyle w:val="BodyTextIndent2"/>
        <w:ind w:start="2160" w:end="0"/>
        <w:rPr>
          <w:sz w:val="22"/>
        </w:rPr>
      </w:pPr>
      <w:r>
        <w:rPr>
          <w:sz w:val="22"/>
        </w:rPr>
        <w:t>2.</w:t>
        <w:tab/>
        <w:t>Other than with respect to EMW and its Controlled Affiliates, acquire any interest, directly or indirectly, in any Equity Securities of any Person who has contracts or agreements directly with any natural Person for the Retail sale of natural gas or electricity to Residential Energy Customers; or</w:t>
      </w:r>
    </w:p>
    <w:p>
      <w:pPr>
        <w:pStyle w:val="BodyTextIndent2"/>
        <w:ind w:start="2160" w:end="0"/>
        <w:rPr>
          <w:sz w:val="22"/>
        </w:rPr>
      </w:pPr>
      <w:r>
        <w:rPr>
          <w:sz w:val="22"/>
        </w:rPr>
      </w:r>
    </w:p>
    <w:p>
      <w:pPr>
        <w:pStyle w:val="Normal"/>
        <w:ind w:hanging="720" w:start="2160" w:end="0"/>
        <w:jc w:val="both"/>
        <w:rPr/>
      </w:pPr>
      <w:r>
        <w:rPr>
          <w:rFonts w:cs="Arial" w:ascii="Arial" w:hAnsi="Arial"/>
          <w:sz w:val="22"/>
        </w:rPr>
        <w:t>3.</w:t>
        <w:tab/>
        <w:t xml:space="preserve">Other than with respect to EMW and its Controlled Affiliates, operate, manage or otherwise conduct the business of selling natural gas or electricity at Retail directly to any Residential Energy Customers or provide consulting or advisory services in connection with the operation or management of any such business; </w:t>
      </w:r>
      <w:r>
        <w:rPr>
          <w:rFonts w:cs="Arial" w:ascii="Arial" w:hAnsi="Arial"/>
          <w:i/>
          <w:sz w:val="22"/>
        </w:rPr>
        <w:t>provided</w:t>
      </w:r>
      <w:r>
        <w:rPr>
          <w:rFonts w:cs="Arial" w:ascii="Arial" w:hAnsi="Arial"/>
          <w:sz w:val="22"/>
        </w:rPr>
        <w:t xml:space="preserve"> that the foregoing shall not preclude the wholesale sale of natural gas and/or electricity (or any derivative products or services provided in connection therewith).</w:t>
      </w:r>
    </w:p>
    <w:p>
      <w:pPr>
        <w:pStyle w:val="Normal"/>
        <w:jc w:val="both"/>
        <w:rPr>
          <w:rFonts w:ascii="Arial" w:hAnsi="Arial" w:cs="Arial"/>
          <w:sz w:val="22"/>
        </w:rPr>
      </w:pPr>
      <w:r>
        <w:rPr>
          <w:rFonts w:cs="Arial" w:ascii="Arial" w:hAnsi="Arial"/>
          <w:sz w:val="22"/>
        </w:rPr>
      </w:r>
      <w:r>
        <w:br w:type="page"/>
      </w:r>
    </w:p>
    <w:p>
      <w:pPr>
        <w:pStyle w:val="BodyTextIndent2"/>
        <w:ind w:hanging="0" w:end="0"/>
        <w:rPr/>
      </w:pPr>
      <w:r>
        <w:rPr>
          <w:sz w:val="22"/>
        </w:rPr>
        <w:t>F.</w:t>
        <w:tab/>
      </w:r>
      <w:r>
        <w:rPr>
          <w:sz w:val="22"/>
          <w:u w:val="single"/>
        </w:rPr>
        <w:t>Exceptions to the Noncompete</w:t>
      </w:r>
      <w:r>
        <w:rPr>
          <w:sz w:val="22"/>
        </w:rPr>
        <w:t>:</w:t>
      </w:r>
    </w:p>
    <w:p>
      <w:pPr>
        <w:pStyle w:val="Normal"/>
        <w:jc w:val="both"/>
        <w:rPr>
          <w:rFonts w:ascii="Arial" w:hAnsi="Arial" w:cs="Arial"/>
          <w:sz w:val="22"/>
        </w:rPr>
      </w:pPr>
      <w:r>
        <w:rPr>
          <w:rFonts w:cs="Arial" w:ascii="Arial" w:hAnsi="Arial"/>
          <w:sz w:val="22"/>
        </w:rPr>
      </w:r>
    </w:p>
    <w:p>
      <w:pPr>
        <w:pStyle w:val="BodyTextIndent2"/>
        <w:ind w:start="2160" w:end="0"/>
        <w:rPr/>
      </w:pPr>
      <w:r>
        <w:rPr>
          <w:color w:val="000000"/>
          <w:spacing w:val="-2"/>
          <w:sz w:val="22"/>
        </w:rPr>
        <w:t>1.</w:t>
        <w:tab/>
      </w:r>
      <w:r>
        <w:rPr>
          <w:color w:val="000000"/>
          <w:spacing w:val="-2"/>
          <w:sz w:val="22"/>
          <w:u w:val="single"/>
        </w:rPr>
        <w:t>Acquisitions of Up to 5% of the Equity Securities of Publicly-Traded Entities Engaged in Prohibited Business</w:t>
      </w:r>
      <w:r>
        <w:rPr>
          <w:color w:val="000000"/>
          <w:spacing w:val="-2"/>
          <w:sz w:val="22"/>
        </w:rPr>
        <w:t>.  The acquisition, directly or indirectly (including by way of stock purchase, stock exchange or merger or consolidation), and thereafter the ownership, by Enron, EES or any of their respective Controlled Affiliates (the “Acquiring Person”) of Equity Securities of any Person which has a class of Equity Securities registered under the Securities Exchange Act and is engaged in the Prohibited Business if, immediately following such acquisition, Enron, EES (so long as EES is a Controlled Affiliate of Enron) and their respective Controlled Affiliates will not beneficially own, in the aggregate, Equity Securities that represent more than 5% of the economic or voting interest of such Person.</w:t>
      </w:r>
    </w:p>
    <w:p>
      <w:pPr>
        <w:pStyle w:val="BodyTextIndent2"/>
        <w:ind w:start="2160" w:end="0"/>
        <w:rPr>
          <w:color w:val="000000"/>
          <w:spacing w:val="-2"/>
          <w:sz w:val="22"/>
        </w:rPr>
      </w:pPr>
      <w:r>
        <w:rPr>
          <w:color w:val="000000"/>
          <w:spacing w:val="-2"/>
          <w:sz w:val="22"/>
        </w:rPr>
      </w:r>
    </w:p>
    <w:p>
      <w:pPr>
        <w:pStyle w:val="BodyTextIndent2"/>
        <w:ind w:start="2160" w:end="0"/>
        <w:rPr/>
      </w:pPr>
      <w:r>
        <w:rPr>
          <w:sz w:val="22"/>
        </w:rPr>
        <w:t>2.</w:t>
        <w:tab/>
      </w:r>
      <w:r>
        <w:rPr>
          <w:sz w:val="22"/>
          <w:u w:val="single"/>
        </w:rPr>
        <w:t xml:space="preserve">Acquisitions of Less Than All Equity Securities </w:t>
      </w:r>
      <w:r>
        <w:rPr>
          <w:color w:val="000000"/>
          <w:spacing w:val="-2"/>
          <w:sz w:val="22"/>
          <w:u w:val="single"/>
        </w:rPr>
        <w:t>Where the Fair Market Value of the Prohibited Business is $20 Million or Less</w:t>
      </w:r>
      <w:r>
        <w:rPr>
          <w:sz w:val="22"/>
        </w:rPr>
        <w:t>.  T</w:t>
      </w:r>
      <w:r>
        <w:rPr>
          <w:color w:val="000000"/>
          <w:spacing w:val="-2"/>
          <w:sz w:val="22"/>
        </w:rPr>
        <w:t xml:space="preserve">he acquisition, directly or indirectly (including by way of stock purchase, stock exchange or merger or consolidation), and thereafter the ownership, by an Acquiring Person of less than all of the Equity Securities of any Person engaged in the Prohibited Business where </w:t>
      </w:r>
      <w:r>
        <w:rPr>
          <w:sz w:val="22"/>
        </w:rPr>
        <w:t>the fair market value of the Prohibited Business of the Person whose Equity Securities are acquired on the date of the acquisition (or the date of the entering into of the agreement providing for such acquisition, if earlier) constitutes no more than $20 million, as such fair market value is determined in good faith by the Acquiring Person.  Following any acquisition of less than all of the Equity Securities of such a Person, if at any time the Acquiring Person still holds some or all of such Equity Securities and the fair market value of the Prohibited Business of the Person whose Equity Securities are held by the Acquiring Person then exceeds $20 million, as determined in good faith by the Acquiring Person, then Enron and EES shall not, and shall cause their respective Controlled Affiliates not to, conduct business with the Prohibited Business activities of such Person except in transactions negotiated at arms-length and for fair value.</w:t>
      </w:r>
    </w:p>
    <w:p>
      <w:pPr>
        <w:pStyle w:val="BodyTextIndent2"/>
        <w:ind w:start="2160" w:end="0"/>
        <w:rPr>
          <w:sz w:val="22"/>
        </w:rPr>
      </w:pPr>
      <w:r>
        <w:rPr>
          <w:sz w:val="22"/>
        </w:rPr>
      </w:r>
    </w:p>
    <w:p>
      <w:pPr>
        <w:pStyle w:val="BodyTextIndent2"/>
        <w:ind w:start="2160" w:end="0"/>
        <w:rPr/>
      </w:pPr>
      <w:r>
        <w:rPr>
          <w:sz w:val="22"/>
        </w:rPr>
        <w:t>3.</w:t>
        <w:tab/>
      </w:r>
      <w:r>
        <w:rPr>
          <w:sz w:val="22"/>
          <w:u w:val="single"/>
        </w:rPr>
        <w:t xml:space="preserve">Acquisitions of All Equity Securities or Assets </w:t>
      </w:r>
      <w:r>
        <w:rPr>
          <w:color w:val="000000"/>
          <w:spacing w:val="-2"/>
          <w:sz w:val="22"/>
          <w:u w:val="single"/>
        </w:rPr>
        <w:t>Where the Fair Market Value of the Prohibited Business is $20 Million or Less</w:t>
      </w:r>
      <w:r>
        <w:rPr>
          <w:sz w:val="22"/>
        </w:rPr>
        <w:t>.  T</w:t>
      </w:r>
      <w:r>
        <w:rPr>
          <w:color w:val="000000"/>
          <w:spacing w:val="-2"/>
          <w:sz w:val="22"/>
        </w:rPr>
        <w:t xml:space="preserve">he acquisition, directly or indirectly (including by way of stock purchase, stock exchange or merger or consolidation), and thereafter the ownership, operation and conduct of business, by an Acquiring Person of all of the Equity Securities of any Person engaged in the Prohibited Business or all or any portion of the assets of any Person engaged in the Prohibited Business </w:t>
      </w:r>
      <w:r>
        <w:rPr>
          <w:sz w:val="22"/>
        </w:rPr>
        <w:t>where (i) in the case of an acquisition of Equity Securities, the fair market value of the Prohibited Business of the Person whose Equity Securities are acquired on the date of the acquisition (or the date of the entering into of the agreement providing for such acquisition, if earlier) constitutes no more than $20 million, as such fair market value is determined in good faith by the Acquiring Person, and (ii) in the case of an acquisition of assets, the fair market value of the acquired assets constituting the Prohibited Business on the date of the acquisition (or the date of the entering into of the agreement providing for such acquisition, if earlier) constitutes no more than $20 million, as such fair market value is determined in good faith by the Acquiring Person.</w:t>
      </w:r>
    </w:p>
    <w:p>
      <w:pPr>
        <w:pStyle w:val="BodyTextIndent2"/>
        <w:ind w:start="2160" w:end="0"/>
        <w:rPr>
          <w:sz w:val="22"/>
        </w:rPr>
      </w:pPr>
      <w:r>
        <w:rPr>
          <w:sz w:val="22"/>
        </w:rPr>
      </w:r>
    </w:p>
    <w:p>
      <w:pPr>
        <w:pStyle w:val="BodyTextIndent2"/>
        <w:ind w:start="2160" w:end="0"/>
        <w:rPr/>
      </w:pPr>
      <w:r>
        <w:rPr>
          <w:sz w:val="22"/>
        </w:rPr>
        <w:t>4.</w:t>
        <w:tab/>
      </w:r>
      <w:r>
        <w:rPr>
          <w:sz w:val="22"/>
          <w:u w:val="single"/>
        </w:rPr>
        <w:t>Investments in, Acquisitions of or Business with Public Utilities, Governmental Entities and/or Cooperatives</w:t>
      </w:r>
      <w:r>
        <w:rPr>
          <w:sz w:val="22"/>
        </w:rPr>
        <w:t xml:space="preserve">.  The acquisition, ownership, operation and/or conduct of business, directly or indirectly </w:t>
      </w:r>
      <w:r>
        <w:rPr>
          <w:color w:val="000000"/>
          <w:spacing w:val="-2"/>
          <w:sz w:val="22"/>
        </w:rPr>
        <w:t>(including by way of stock purchase or merger or consolidation)</w:t>
      </w:r>
      <w:r>
        <w:rPr>
          <w:sz w:val="22"/>
        </w:rPr>
        <w:t>, by Enron, EES or any of their respective Controlled Affiliates of all or any portion of, or with, any Person (or any of its securities, businesses or assets) that is classified or commonly known as:</w:t>
      </w:r>
    </w:p>
    <w:p>
      <w:pPr>
        <w:pStyle w:val="BodyTextIndent2"/>
        <w:ind w:firstLine="720" w:end="0"/>
        <w:rPr>
          <w:sz w:val="22"/>
        </w:rPr>
      </w:pPr>
      <w:r>
        <w:rPr>
          <w:sz w:val="22"/>
        </w:rPr>
      </w:r>
    </w:p>
    <w:p>
      <w:pPr>
        <w:pStyle w:val="Normal"/>
        <w:ind w:hanging="720" w:start="2880" w:end="0"/>
        <w:jc w:val="both"/>
        <w:rPr>
          <w:rFonts w:ascii="Arial" w:hAnsi="Arial" w:cs="Arial"/>
          <w:sz w:val="22"/>
        </w:rPr>
      </w:pPr>
      <w:r>
        <w:rPr>
          <w:rFonts w:cs="Arial" w:ascii="Arial" w:hAnsi="Arial"/>
          <w:sz w:val="22"/>
        </w:rPr>
        <w:t>(a)</w:t>
        <w:tab/>
        <w:t>A “public utility company,” as such term is defined in the Public Utility Holding Company Act of 1935, as amended and in effect on January 6, 2000 (“PUHCA”), and is regulated under state law as a “public utility” and subject to the jurisdiction of the applicable state public utility or public service commission for regulation of Persons with customers within franchise service areas (this exception covers both “gas utility companies” and “electric utility companies,” and includes any “public utility company” that is included within a holding company system under PUHCA);</w:t>
      </w:r>
    </w:p>
    <w:p>
      <w:pPr>
        <w:pStyle w:val="BodyTextIndent2"/>
        <w:ind w:start="2880" w:end="0"/>
        <w:rPr>
          <w:rFonts w:ascii="Arial" w:hAnsi="Arial" w:cs="Arial"/>
          <w:sz w:val="22"/>
        </w:rPr>
      </w:pPr>
      <w:r>
        <w:rPr>
          <w:rFonts w:cs="Arial"/>
          <w:sz w:val="22"/>
        </w:rPr>
      </w:r>
    </w:p>
    <w:p>
      <w:pPr>
        <w:pStyle w:val="BodyTextIndent2"/>
        <w:ind w:start="2880" w:end="0"/>
        <w:rPr/>
      </w:pPr>
      <w:r>
        <w:rPr>
          <w:sz w:val="22"/>
        </w:rPr>
        <w:t>(b)</w:t>
        <w:tab/>
        <w:t>a Governmental Authority</w:t>
      </w:r>
      <w:r>
        <w:rPr>
          <w:rStyle w:val="EndnoteCharacters"/>
          <w:rStyle w:val="EndnoteReference"/>
          <w:sz w:val="22"/>
        </w:rPr>
        <w:endnoteReference w:id="15"/>
      </w:r>
      <w:r>
        <w:rPr>
          <w:sz w:val="22"/>
        </w:rPr>
        <w:t xml:space="preserve"> or any Person controlled, directly or indirectly, by a Governmental Authority, including municipalities, municipal utility districts, and public power authorities; or</w:t>
      </w:r>
    </w:p>
    <w:p>
      <w:pPr>
        <w:pStyle w:val="BodyTextIndent2"/>
        <w:ind w:start="2880" w:end="0"/>
        <w:rPr>
          <w:sz w:val="22"/>
        </w:rPr>
      </w:pPr>
      <w:r>
        <w:rPr>
          <w:sz w:val="22"/>
        </w:rPr>
      </w:r>
    </w:p>
    <w:p>
      <w:pPr>
        <w:pStyle w:val="BodyTextIndent2"/>
        <w:ind w:start="2880" w:end="0"/>
        <w:rPr>
          <w:sz w:val="22"/>
        </w:rPr>
      </w:pPr>
      <w:r>
        <w:rPr>
          <w:sz w:val="22"/>
        </w:rPr>
        <w:t>(c)</w:t>
        <w:tab/>
        <w:t>a cooperative.</w:t>
      </w:r>
    </w:p>
    <w:p>
      <w:pPr>
        <w:pStyle w:val="BodyTextIndent2"/>
        <w:ind w:firstLine="720" w:end="0"/>
        <w:rPr>
          <w:sz w:val="22"/>
        </w:rPr>
      </w:pPr>
      <w:r>
        <w:rPr>
          <w:sz w:val="22"/>
        </w:rPr>
      </w:r>
    </w:p>
    <w:p>
      <w:pPr>
        <w:pStyle w:val="BodyTextIndent2"/>
        <w:ind w:hanging="0" w:start="2160" w:end="0"/>
        <w:rPr>
          <w:sz w:val="22"/>
        </w:rPr>
      </w:pPr>
      <w:r>
        <w:rPr>
          <w:sz w:val="22"/>
        </w:rPr>
        <w:t>The activities permitted by this Item I.F.4. apply whether or not any Person in clauses (a), (b) or (c) engages in any Prohibited Business and whether or not Enron, EES or any of their respective Controlled Affiliates serves as “default provider” with respect to any Residential Energy Customers.</w:t>
      </w:r>
    </w:p>
    <w:p>
      <w:pPr>
        <w:pStyle w:val="BodyTextIndent2"/>
        <w:ind w:start="2160" w:end="0"/>
        <w:rPr>
          <w:sz w:val="22"/>
        </w:rPr>
      </w:pPr>
      <w:r>
        <w:rPr>
          <w:sz w:val="22"/>
        </w:rPr>
      </w:r>
    </w:p>
    <w:p>
      <w:pPr>
        <w:pStyle w:val="Normal"/>
        <w:suppressAutoHyphens w:val="true"/>
        <w:ind w:hanging="720" w:start="2160" w:end="0"/>
        <w:jc w:val="both"/>
        <w:rPr/>
      </w:pPr>
      <w:r>
        <w:rPr>
          <w:rFonts w:cs="Arial" w:ascii="Arial" w:hAnsi="Arial"/>
          <w:sz w:val="22"/>
        </w:rPr>
        <w:t>5.</w:t>
        <w:tab/>
      </w:r>
      <w:r>
        <w:rPr>
          <w:rFonts w:cs="Arial" w:ascii="Arial" w:hAnsi="Arial"/>
          <w:sz w:val="22"/>
          <w:u w:val="single"/>
        </w:rPr>
        <w:t>Excluded Entities; Stockholder Covenant</w:t>
      </w:r>
      <w:r>
        <w:rPr>
          <w:rFonts w:cs="Arial" w:ascii="Arial" w:hAnsi="Arial"/>
          <w:sz w:val="22"/>
        </w:rPr>
        <w:t>.  Any business or activities that are conducted directly or indirectly (including through Controlled Affiliates) by:</w:t>
      </w:r>
    </w:p>
    <w:p>
      <w:pPr>
        <w:pStyle w:val="Normal"/>
        <w:suppressAutoHyphens w:val="true"/>
        <w:ind w:start="2160" w:end="0"/>
        <w:jc w:val="both"/>
        <w:rPr>
          <w:rFonts w:ascii="Arial" w:hAnsi="Arial" w:cs="Arial"/>
          <w:sz w:val="22"/>
        </w:rPr>
      </w:pPr>
      <w:r>
        <w:rPr>
          <w:rFonts w:cs="Arial" w:ascii="Arial" w:hAnsi="Arial"/>
          <w:sz w:val="22"/>
        </w:rPr>
      </w:r>
    </w:p>
    <w:p>
      <w:pPr>
        <w:pStyle w:val="Normal"/>
        <w:suppressAutoHyphens w:val="true"/>
        <w:ind w:start="2160" w:end="0"/>
        <w:jc w:val="both"/>
        <w:rPr>
          <w:rFonts w:ascii="Arial" w:hAnsi="Arial" w:cs="Arial"/>
          <w:sz w:val="22"/>
        </w:rPr>
      </w:pPr>
      <w:r>
        <w:rPr>
          <w:rFonts w:cs="Arial" w:ascii="Arial" w:hAnsi="Arial"/>
          <w:sz w:val="22"/>
        </w:rPr>
        <w:t>Azurix Corp.;</w:t>
      </w:r>
    </w:p>
    <w:p>
      <w:pPr>
        <w:pStyle w:val="Normal"/>
        <w:suppressAutoHyphens w:val="true"/>
        <w:ind w:start="2160" w:end="0"/>
        <w:jc w:val="both"/>
        <w:rPr>
          <w:rFonts w:ascii="Arial" w:hAnsi="Arial" w:cs="Arial"/>
          <w:sz w:val="22"/>
        </w:rPr>
      </w:pPr>
      <w:r>
        <w:rPr>
          <w:rFonts w:cs="Arial" w:ascii="Arial" w:hAnsi="Arial"/>
          <w:sz w:val="22"/>
        </w:rPr>
        <w:t>Citrus Corporation;</w:t>
      </w:r>
    </w:p>
    <w:p>
      <w:pPr>
        <w:pStyle w:val="Normal"/>
        <w:suppressAutoHyphens w:val="true"/>
        <w:ind w:start="2160" w:end="0"/>
        <w:jc w:val="both"/>
        <w:rPr>
          <w:rFonts w:ascii="Arial" w:hAnsi="Arial" w:cs="Arial"/>
          <w:sz w:val="22"/>
        </w:rPr>
      </w:pPr>
      <w:r>
        <w:rPr>
          <w:rFonts w:cs="Arial" w:ascii="Arial" w:hAnsi="Arial"/>
          <w:sz w:val="22"/>
        </w:rPr>
        <w:t>Enron Renewable Energy Corp.;</w:t>
      </w:r>
    </w:p>
    <w:p>
      <w:pPr>
        <w:pStyle w:val="Normal"/>
        <w:suppressAutoHyphens w:val="true"/>
        <w:ind w:start="2160" w:end="0"/>
        <w:jc w:val="both"/>
        <w:rPr>
          <w:rFonts w:ascii="Arial" w:hAnsi="Arial" w:cs="Arial"/>
          <w:sz w:val="22"/>
        </w:rPr>
      </w:pPr>
      <w:r>
        <w:rPr>
          <w:rFonts w:cs="Arial" w:ascii="Arial" w:hAnsi="Arial"/>
          <w:sz w:val="22"/>
        </w:rPr>
        <w:t>EOTT Energy Partners, L.P.;</w:t>
      </w:r>
    </w:p>
    <w:p>
      <w:pPr>
        <w:pStyle w:val="Normal"/>
        <w:suppressAutoHyphens w:val="true"/>
        <w:ind w:start="2160" w:end="0"/>
        <w:jc w:val="both"/>
        <w:rPr>
          <w:rFonts w:ascii="Arial" w:hAnsi="Arial" w:cs="Arial"/>
          <w:sz w:val="22"/>
        </w:rPr>
      </w:pPr>
      <w:r>
        <w:rPr>
          <w:rFonts w:cs="Arial" w:ascii="Arial" w:hAnsi="Arial"/>
          <w:sz w:val="22"/>
        </w:rPr>
        <w:t>Northern Border Partners, L.P.;</w:t>
      </w:r>
    </w:p>
    <w:p>
      <w:pPr>
        <w:pStyle w:val="Normal"/>
        <w:suppressAutoHyphens w:val="true"/>
        <w:ind w:start="2160" w:end="0"/>
        <w:jc w:val="both"/>
        <w:rPr>
          <w:rFonts w:ascii="Arial" w:hAnsi="Arial" w:cs="Arial"/>
          <w:sz w:val="22"/>
        </w:rPr>
      </w:pPr>
      <w:r>
        <w:rPr>
          <w:rFonts w:cs="Arial" w:ascii="Arial" w:hAnsi="Arial"/>
          <w:sz w:val="22"/>
        </w:rPr>
        <w:t>Portland General Electric Company; or</w:t>
      </w:r>
    </w:p>
    <w:p>
      <w:pPr>
        <w:pStyle w:val="Normal"/>
        <w:suppressAutoHyphens w:val="true"/>
        <w:ind w:start="2160" w:end="0"/>
        <w:jc w:val="both"/>
        <w:rPr>
          <w:rFonts w:ascii="Arial" w:hAnsi="Arial" w:cs="Arial"/>
          <w:sz w:val="22"/>
        </w:rPr>
      </w:pPr>
      <w:r>
        <w:rPr>
          <w:rFonts w:cs="Arial" w:ascii="Arial" w:hAnsi="Arial"/>
          <w:sz w:val="22"/>
        </w:rPr>
      </w:r>
    </w:p>
    <w:p>
      <w:pPr>
        <w:pStyle w:val="Normal"/>
        <w:suppressAutoHyphens w:val="true"/>
        <w:ind w:start="2160" w:end="0"/>
        <w:jc w:val="both"/>
        <w:rPr/>
      </w:pPr>
      <w:r>
        <w:rPr>
          <w:rFonts w:cs="Arial" w:ascii="Arial" w:hAnsi="Arial"/>
          <w:sz w:val="22"/>
        </w:rPr>
        <w:t xml:space="preserve">Any Person (other than any Person referenced above) in whom Enron, EES or any Controlled Affiliate of Enron or EES on January 6, 2000 owns 50% or less of the issued and outstanding voting securities, </w:t>
      </w:r>
      <w:r>
        <w:rPr>
          <w:rFonts w:cs="Arial" w:ascii="Arial" w:hAnsi="Arial"/>
          <w:i/>
          <w:sz w:val="22"/>
        </w:rPr>
        <w:t xml:space="preserve">provided, </w:t>
      </w:r>
      <w:r>
        <w:rPr>
          <w:rFonts w:cs="Arial" w:ascii="Arial" w:hAnsi="Arial"/>
          <w:sz w:val="22"/>
        </w:rPr>
        <w:t>that this clause shall not permit Enron, EES or any of their respective Controlled Affiliates to, directly or indirectly, use such Person to form or enter into a joint venture (of whatever structure or legal entity) that will enter into any Prohibited Business.</w:t>
      </w:r>
    </w:p>
    <w:p>
      <w:pPr>
        <w:pStyle w:val="Normal"/>
        <w:suppressAutoHyphens w:val="true"/>
        <w:ind w:start="2160" w:end="0"/>
        <w:jc w:val="both"/>
        <w:rPr>
          <w:rFonts w:ascii="Arial" w:hAnsi="Arial" w:cs="Arial"/>
          <w:sz w:val="22"/>
        </w:rPr>
      </w:pPr>
      <w:r>
        <w:rPr>
          <w:rFonts w:cs="Arial" w:ascii="Arial" w:hAnsi="Arial"/>
          <w:sz w:val="22"/>
        </w:rPr>
      </w:r>
    </w:p>
    <w:p>
      <w:pPr>
        <w:pStyle w:val="Normal"/>
        <w:suppressAutoHyphens w:val="true"/>
        <w:ind w:start="2160" w:end="0"/>
        <w:jc w:val="both"/>
        <w:rPr/>
      </w:pPr>
      <w:r>
        <w:rPr>
          <w:rFonts w:cs="Arial" w:ascii="Arial" w:hAnsi="Arial"/>
          <w:sz w:val="22"/>
        </w:rPr>
        <w:t xml:space="preserve">Enron and EES agree that they and their respective Controlled Affiliates will not, in their capacity as a stockholder of any of the Persons referenced in this Item I.F.5., unless otherwise required by fiduciary duties under applicable law, vote their stock held in such Persons in such a manner, or otherwise use their position as a stockholder, so as to cause any activity prohibited by the Noncompete; </w:t>
      </w:r>
      <w:r>
        <w:rPr>
          <w:rFonts w:cs="Arial" w:ascii="Arial" w:hAnsi="Arial"/>
          <w:i/>
          <w:sz w:val="22"/>
        </w:rPr>
        <w:t xml:space="preserve">provided, </w:t>
      </w:r>
      <w:r>
        <w:rPr>
          <w:rFonts w:cs="Arial" w:ascii="Arial" w:hAnsi="Arial"/>
          <w:sz w:val="22"/>
        </w:rPr>
        <w:t>that the foregoing does not restrict in any manner whatsoever the ability of any officer, director or employee of any of such Persons from exercising any of their fiduciary duties under applicable law as an officer, director or employee of any such Persons, whether or not such officer, director or employee of such Person is also an officer, director or employee of Enron, EES or any of their respective Controlled Affiliates.</w:t>
      </w:r>
    </w:p>
    <w:p>
      <w:pPr>
        <w:pStyle w:val="Normal"/>
        <w:suppressAutoHyphens w:val="true"/>
        <w:ind w:start="2160" w:end="0"/>
        <w:jc w:val="both"/>
        <w:rPr>
          <w:rFonts w:ascii="Arial" w:hAnsi="Arial" w:cs="Arial"/>
          <w:sz w:val="22"/>
        </w:rPr>
      </w:pPr>
      <w:r>
        <w:rPr>
          <w:rFonts w:cs="Arial" w:ascii="Arial" w:hAnsi="Arial"/>
          <w:sz w:val="22"/>
        </w:rPr>
      </w:r>
    </w:p>
    <w:p>
      <w:pPr>
        <w:pStyle w:val="BodyTextIndent"/>
        <w:ind w:hanging="720" w:start="2160" w:end="0"/>
        <w:rPr/>
      </w:pPr>
      <w:r>
        <w:rPr>
          <w:rFonts w:cs="Arial" w:ascii="Arial" w:hAnsi="Arial"/>
          <w:color w:val="000000"/>
          <w:spacing w:val="-2"/>
          <w:sz w:val="22"/>
        </w:rPr>
        <w:t>6.</w:t>
        <w:tab/>
      </w:r>
      <w:r>
        <w:rPr>
          <w:rFonts w:cs="Arial" w:ascii="Arial" w:hAnsi="Arial"/>
          <w:color w:val="000000"/>
          <w:spacing w:val="-2"/>
          <w:sz w:val="22"/>
          <w:u w:val="single"/>
        </w:rPr>
        <w:t>Acquisitions of Equity Securities or Assets Where the Fair Market Value of the Prohibited Business is Greater Than $20 Million; Forced Divestiture Within One Year</w:t>
      </w:r>
      <w:r>
        <w:rPr>
          <w:rFonts w:cs="Arial" w:ascii="Arial" w:hAnsi="Arial"/>
          <w:color w:val="000000"/>
          <w:spacing w:val="-2"/>
          <w:sz w:val="22"/>
        </w:rPr>
        <w:t xml:space="preserve">.  </w:t>
      </w:r>
      <w:r>
        <w:rPr>
          <w:rFonts w:cs="Arial" w:ascii="Arial" w:hAnsi="Arial"/>
          <w:sz w:val="22"/>
        </w:rPr>
        <w:t xml:space="preserve">The acquisition, directly or indirectly </w:t>
      </w:r>
      <w:r>
        <w:rPr>
          <w:rFonts w:cs="Arial" w:ascii="Arial" w:hAnsi="Arial"/>
          <w:color w:val="000000"/>
          <w:spacing w:val="-2"/>
          <w:sz w:val="22"/>
        </w:rPr>
        <w:t>(including by way of stock purchase or merger or consolidation)</w:t>
      </w:r>
      <w:r>
        <w:rPr>
          <w:rFonts w:cs="Arial" w:ascii="Arial" w:hAnsi="Arial"/>
          <w:sz w:val="22"/>
        </w:rPr>
        <w:t xml:space="preserve">, by an Acquiring Person of Equity Securities or assets of any Person that is engaged in the Prohibited Business </w:t>
      </w:r>
      <w:r>
        <w:rPr>
          <w:rFonts w:cs="Arial" w:ascii="Arial" w:hAnsi="Arial"/>
          <w:color w:val="000000"/>
          <w:spacing w:val="-2"/>
          <w:sz w:val="22"/>
        </w:rPr>
        <w:t>not permitted by the other provisions of this Item I.F.</w:t>
      </w:r>
      <w:r>
        <w:rPr>
          <w:rFonts w:cs="Arial" w:ascii="Arial" w:hAnsi="Arial"/>
          <w:sz w:val="22"/>
        </w:rPr>
        <w:t xml:space="preserve">; </w:t>
      </w:r>
      <w:r>
        <w:rPr>
          <w:rFonts w:cs="Arial" w:ascii="Arial" w:hAnsi="Arial"/>
          <w:i/>
          <w:sz w:val="22"/>
        </w:rPr>
        <w:t xml:space="preserve">provided, </w:t>
      </w:r>
      <w:r>
        <w:rPr>
          <w:rFonts w:cs="Arial" w:ascii="Arial" w:hAnsi="Arial"/>
          <w:sz w:val="22"/>
        </w:rPr>
        <w:t>that prior to or following such acquisition the Acquiring Person complies with the following provisions:</w:t>
      </w:r>
    </w:p>
    <w:p>
      <w:pPr>
        <w:pStyle w:val="BodyTextIndent"/>
        <w:ind w:hanging="720" w:start="2160" w:end="0"/>
        <w:rPr>
          <w:rFonts w:ascii="Arial" w:hAnsi="Arial" w:cs="Arial"/>
          <w:sz w:val="22"/>
        </w:rPr>
      </w:pPr>
      <w:r>
        <w:rPr>
          <w:rFonts w:cs="Arial" w:ascii="Arial" w:hAnsi="Arial"/>
          <w:sz w:val="22"/>
        </w:rPr>
      </w:r>
    </w:p>
    <w:p>
      <w:pPr>
        <w:pStyle w:val="Normal"/>
        <w:tabs>
          <w:tab w:val="clear" w:pos="720"/>
          <w:tab w:val="left" w:pos="2160" w:leader="none"/>
        </w:tabs>
        <w:suppressAutoHyphens w:val="true"/>
        <w:ind w:hanging="2160" w:start="2880" w:end="0"/>
        <w:jc w:val="both"/>
        <w:rPr/>
      </w:pPr>
      <w:r>
        <w:rPr>
          <w:rFonts w:cs="Arial" w:ascii="Arial" w:hAnsi="Arial"/>
          <w:sz w:val="22"/>
        </w:rPr>
        <w:tab/>
        <w:t>(a)</w:t>
        <w:tab/>
      </w:r>
      <w:r>
        <w:rPr>
          <w:rFonts w:cs="Arial" w:ascii="Arial" w:hAnsi="Arial"/>
          <w:color w:val="000000"/>
          <w:spacing w:val="-2"/>
          <w:sz w:val="22"/>
        </w:rPr>
        <w:t xml:space="preserve">If an Acquiring Person acquires less than all of the Equity Securities of a Person, </w:t>
      </w:r>
      <w:r>
        <w:rPr>
          <w:rFonts w:cs="Arial" w:ascii="Arial" w:hAnsi="Arial"/>
          <w:sz w:val="22"/>
        </w:rPr>
        <w:t xml:space="preserve">EMW shall have an option to participate in the investment in the Equity Securities held by the Acquiring Person (either directly or indirectly through the ownership of another security or contract right with such Acquiring Person) in a manner that will allow EMW to recognize the value of the Prohibited Business conducted by such Person (“Investment Option”).  </w:t>
      </w:r>
      <w:r>
        <w:rPr>
          <w:rFonts w:cs="Arial" w:ascii="Arial" w:hAnsi="Arial"/>
          <w:color w:val="000000"/>
          <w:spacing w:val="-2"/>
          <w:sz w:val="22"/>
        </w:rPr>
        <w:t xml:space="preserve">If an Acquiring Person acquires all of the Equity Securities of a Person engaged in the Prohibited Business or all or any portion of the assets of a Person engaged in the Prohibited Business, </w:t>
      </w:r>
      <w:r>
        <w:rPr>
          <w:rFonts w:cs="Arial" w:ascii="Arial" w:hAnsi="Arial"/>
          <w:sz w:val="22"/>
        </w:rPr>
        <w:t>EMW has an option to either (at the election of the Acquiring Person) purchase the Equity Securities of the Prohibited Business or the assets comprising the Prohibited Business, including the capital stock of any subsidiary engaged in the Prohibited Business (the “Offered Business”), as follows:</w:t>
      </w:r>
    </w:p>
    <w:p>
      <w:pPr>
        <w:pStyle w:val="Normal"/>
        <w:tabs>
          <w:tab w:val="clear" w:pos="720"/>
          <w:tab w:val="left" w:pos="2160" w:leader="none"/>
        </w:tabs>
        <w:suppressAutoHyphens w:val="true"/>
        <w:ind w:hanging="2160" w:start="2880" w:end="0"/>
        <w:jc w:val="both"/>
        <w:rPr>
          <w:rFonts w:ascii="Arial" w:hAnsi="Arial" w:cs="Arial"/>
          <w:sz w:val="22"/>
        </w:rPr>
      </w:pPr>
      <w:r>
        <w:rPr>
          <w:rFonts w:cs="Arial" w:ascii="Arial" w:hAnsi="Arial"/>
          <w:sz w:val="22"/>
        </w:rPr>
      </w:r>
    </w:p>
    <w:p>
      <w:pPr>
        <w:pStyle w:val="Normal"/>
        <w:tabs>
          <w:tab w:val="clear" w:pos="720"/>
          <w:tab w:val="left" w:pos="2880" w:leader="none"/>
        </w:tabs>
        <w:suppressAutoHyphens w:val="true"/>
        <w:ind w:hanging="2160" w:start="3600" w:end="0"/>
        <w:jc w:val="both"/>
        <w:rPr>
          <w:rFonts w:ascii="Arial" w:hAnsi="Arial" w:cs="Arial"/>
          <w:sz w:val="22"/>
        </w:rPr>
      </w:pPr>
      <w:r>
        <w:rPr>
          <w:rFonts w:cs="Arial" w:ascii="Arial" w:hAnsi="Arial"/>
          <w:sz w:val="22"/>
        </w:rPr>
        <w:tab/>
        <w:t>(i)</w:t>
        <w:tab/>
        <w:t>Prior to or within 60 days following the Acquiring Person’s acquisition of Equity Securities or the Offered Business referred to above, the Acquiring Person shall deliver to EMW written notice of the Investment Option or the Offered Business, as the case may be (“Option Notice”), which Option Notice shall specify the terms and conditions by which EMW may participate in the investment of the Equity Securities or acquire the Offered Business, including the consideration to be paid by EMW and the projected closing date for such investment or acquisition.  The Acquiring Person also shall provide to EMW (subject to the execution of a customary confidentiality agreement and the receipt of any necessary consents from other Persons) in conjunction with such Option Notice, any and all information concerning the Investment Option or the Offered Business within the Acquiring Person’s possession as is requested by EMW.</w:t>
      </w:r>
    </w:p>
    <w:p>
      <w:pPr>
        <w:pStyle w:val="Normal"/>
        <w:tabs>
          <w:tab w:val="clear" w:pos="720"/>
          <w:tab w:val="left" w:pos="2880" w:leader="none"/>
        </w:tabs>
        <w:suppressAutoHyphens w:val="true"/>
        <w:ind w:hanging="2160" w:start="3600" w:end="0"/>
        <w:jc w:val="both"/>
        <w:rPr>
          <w:rFonts w:ascii="Arial" w:hAnsi="Arial" w:cs="Arial"/>
          <w:sz w:val="22"/>
        </w:rPr>
      </w:pPr>
      <w:r>
        <w:rPr>
          <w:rFonts w:cs="Arial" w:ascii="Arial" w:hAnsi="Arial"/>
          <w:sz w:val="22"/>
        </w:rPr>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tab/>
        <w:t>(ii)</w:t>
        <w:tab/>
        <w:t>Within 30 days following the receipt of the Option Notice, EMW shall notify the Acquiring Person in writing of whether EMW desires to (i) participate in the investment with respect to the Investment Option or (ii) acquire the Offered Business.  If EMW delivers written notice to the Acquiring Person within such 30 day period that EMW desires to participate in the investment or acquire the Offered Business (the “Election Notice”), then EMW and the Acquiring Person shall thereafter negotiate in good faith for a period of 30 days with respect to the terms and conditions (including the consideration to be paid by EMW) by which EMW will (A) participate in the Investment Option or (B) acquire the Offered Business, and in each case that will permit the Acquiring Person the ability to close such investment or acquisition by the projected closing date specified in the Option Notice.</w:t>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tab/>
        <w:t>(iii)</w:t>
        <w:tab/>
        <w:t>If (i) EMW fails to deliver to the Acquiring Person an Election Notice within the 30-day period afforded to EMW, or (ii) EMW otherwise indicates to the Acquiring Person that it does not wish to participate in the Investment Option or to acquire the Offered Business, or (iii) EMW and the Acquiring Person are not able, after negotiating in good faith, to mutually agree on the terms of the Investment Option or for the purchase of the Offered Business within the 30-day period following the delivery of the Election Notice, then in any such case the Acquiring Person may acquire the Equity Securities or the Offered Business (if it has not already done so) but must thereafter divest the Equity Securities (or that portion of the value of the Equity Securities attributable to the Prohibited Business of the issuer of the Equity Securities, by a sale of tracking stock, derivatives or otherwise with respect to the Prohibited Business, so that the Acquiring Person has effectively divested the value of the Prohibited Business) or the Offered Business, as the case may be, within 1 year following the consummation of the acquisition thereof, subject to the expiration of all waiting periods and the receipt of all necessary approvals of any Governmental Authority in connection therewith.</w:t>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tab/>
        <w:t>(iv)</w:t>
        <w:tab/>
        <w:t>For a period of 30 days following the date of the delivery of the Option Notice (or, if applicable, such earlier date as EMW has notified the Acquiring Person that it will not make an Election Notice), the Acquiring Person and EMW shall negotiate exclusively with each other with respect to the transactions contemplated by the Option Notice.</w:t>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tab/>
        <w:t>(v)</w:t>
        <w:tab/>
        <w:t>The Acquiring Person and EMW agree that any participation by EMW in the Investment Option or an acquisition of the Offered Business shall be subject to compliance with all laws, rules and regulations of any applicable Governmental Authority.</w:t>
      </w:r>
    </w:p>
    <w:p>
      <w:pPr>
        <w:pStyle w:val="Normal"/>
        <w:tabs>
          <w:tab w:val="clear" w:pos="720"/>
          <w:tab w:val="left" w:pos="2880" w:leader="none"/>
        </w:tabs>
        <w:ind w:hanging="2160" w:start="3600" w:end="0"/>
        <w:jc w:val="both"/>
        <w:rPr>
          <w:rFonts w:ascii="Arial" w:hAnsi="Arial" w:cs="Arial"/>
          <w:sz w:val="22"/>
        </w:rPr>
      </w:pPr>
      <w:r>
        <w:rPr>
          <w:rFonts w:cs="Arial" w:ascii="Arial" w:hAnsi="Arial"/>
          <w:sz w:val="22"/>
        </w:rPr>
      </w:r>
    </w:p>
    <w:p>
      <w:pPr>
        <w:pStyle w:val="BodyTextIndent"/>
        <w:tabs>
          <w:tab w:val="clear" w:pos="720"/>
          <w:tab w:val="left" w:pos="2880" w:leader="none"/>
        </w:tabs>
        <w:ind w:hanging="2160" w:start="3600" w:end="0"/>
        <w:rPr>
          <w:rFonts w:ascii="Arial" w:hAnsi="Arial" w:cs="Arial"/>
          <w:sz w:val="22"/>
        </w:rPr>
      </w:pPr>
      <w:r>
        <w:rPr>
          <w:rFonts w:cs="Arial" w:ascii="Arial" w:hAnsi="Arial"/>
          <w:sz w:val="22"/>
        </w:rPr>
        <w:tab/>
        <w:t>(vi)</w:t>
        <w:tab/>
        <w:t>The rights of EMW under this Item I.F.6. with respect to EMW’s option to participate in an Investment Option or to acquire the Offered Business may not be assigned or otherwise transferred by EMW to any Person in whole or in part without the prior written consent of the Acquiring Person, which may be granted or withheld in the sole and unfettered discretion of the Acquiring Person.</w:t>
      </w:r>
    </w:p>
    <w:p>
      <w:pPr>
        <w:pStyle w:val="BodyTextIndent"/>
        <w:ind w:hanging="0" w:start="0" w:end="0"/>
        <w:rPr>
          <w:rFonts w:ascii="Arial" w:hAnsi="Arial" w:cs="Arial"/>
          <w:sz w:val="22"/>
        </w:rPr>
      </w:pPr>
      <w:r>
        <w:rPr>
          <w:rFonts w:cs="Arial" w:ascii="Arial" w:hAnsi="Arial"/>
          <w:sz w:val="22"/>
        </w:rPr>
      </w:r>
    </w:p>
    <w:p>
      <w:pPr>
        <w:pStyle w:val="BodyTextIndent"/>
        <w:ind w:hanging="720" w:start="1440" w:end="0"/>
        <w:rPr/>
      </w:pPr>
      <w:r>
        <w:rPr>
          <w:rFonts w:cs="Arial" w:ascii="Arial" w:hAnsi="Arial"/>
          <w:sz w:val="22"/>
        </w:rPr>
        <w:t>G.</w:t>
        <w:tab/>
      </w:r>
      <w:r>
        <w:rPr>
          <w:rFonts w:cs="Arial" w:ascii="Arial" w:hAnsi="Arial"/>
          <w:sz w:val="22"/>
          <w:u w:val="single"/>
        </w:rPr>
        <w:t>Governing Law, Exclusive Jurisdiction and Venue is Delaware</w:t>
      </w:r>
    </w:p>
    <w:p>
      <w:pPr>
        <w:pStyle w:val="BodyTextIndent"/>
        <w:ind w:hanging="720" w:start="1440" w:end="0"/>
        <w:rPr>
          <w:rFonts w:ascii="Arial" w:hAnsi="Arial" w:cs="Arial"/>
          <w:sz w:val="22"/>
          <w:u w:val="single"/>
        </w:rPr>
      </w:pPr>
      <w:r>
        <w:rPr>
          <w:rFonts w:cs="Arial" w:ascii="Arial" w:hAnsi="Arial"/>
          <w:sz w:val="22"/>
          <w:u w:val="single"/>
        </w:rPr>
      </w:r>
    </w:p>
    <w:p>
      <w:pPr>
        <w:pStyle w:val="BodyTextIndent"/>
        <w:ind w:hanging="720" w:start="1440" w:end="0"/>
        <w:rPr/>
      </w:pPr>
      <w:r>
        <w:rPr>
          <w:rFonts w:cs="Arial" w:ascii="Arial" w:hAnsi="Arial"/>
          <w:sz w:val="22"/>
        </w:rPr>
        <w:t>H.</w:t>
        <w:tab/>
      </w:r>
      <w:r>
        <w:rPr>
          <w:rFonts w:cs="Arial" w:ascii="Arial" w:hAnsi="Arial"/>
          <w:sz w:val="22"/>
          <w:u w:val="single"/>
        </w:rPr>
        <w:t>Noncompetition Agreement</w:t>
      </w:r>
      <w:r>
        <w:rPr>
          <w:rFonts w:cs="Arial" w:ascii="Arial" w:hAnsi="Arial"/>
          <w:sz w:val="22"/>
        </w:rPr>
        <w:t>:  Attached is a copy of the executed Noncompetition Agreement.</w:t>
      </w:r>
    </w:p>
    <w:p>
      <w:pPr>
        <w:pStyle w:val="BodyTextIndent"/>
        <w:ind w:hanging="720" w:start="1440" w:end="0"/>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endnotePr>
        <w:pos w:val="sectEnd"/>
        <w:numFmt w:val="decimal"/>
      </w:endnotePr>
      <w:type w:val="nextPage"/>
      <w:pgSz w:w="12240" w:h="15840"/>
      <w:pgMar w:left="1440" w:right="1440" w:gutter="0" w:header="720" w:top="1296" w:footer="720" w:bottom="1296"/>
      <w:pgNumType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ind w:hanging="360" w:start="360" w:end="0"/>
        <w:jc w:val="both"/>
        <w:rPr>
          <w:rFonts w:ascii="Arial" w:hAnsi="Arial" w:cs="Arial"/>
          <w:sz w:val="18"/>
        </w:rPr>
      </w:pPr>
      <w:r>
        <w:rPr>
          <w:rStyle w:val="EndnoteCharacters"/>
        </w:rPr>
        <w:endnoteRef/>
      </w:r>
      <w:r>
        <w:rPr>
          <w:rFonts w:cs="Arial" w:ascii="Arial" w:hAnsi="Arial"/>
          <w:sz w:val="18"/>
        </w:rPr>
      </w:r>
    </w:p>
    <w:p>
      <w:pPr>
        <w:pStyle w:val="EndnoteText"/>
        <w:ind w:hanging="360" w:start="360" w:end="0"/>
        <w:jc w:val="both"/>
        <w:rPr/>
      </w:pPr>
      <w:r>
        <w:rPr>
          <w:rStyle w:val="EndnoteCharacters"/>
          <w:rFonts w:cs="Arial" w:ascii="Arial" w:hAnsi="Arial"/>
          <w:sz w:val="18"/>
        </w:rPr>
        <w:t>?</w:t>
      </w:r>
      <w:r>
        <w:rPr>
          <w:rFonts w:cs="Arial" w:ascii="Arial" w:hAnsi="Arial"/>
          <w:sz w:val="18"/>
        </w:rPr>
        <w:tab/>
        <w:t>“</w:t>
      </w:r>
      <w:r>
        <w:rPr>
          <w:rFonts w:cs="Arial" w:ascii="Arial" w:hAnsi="Arial"/>
          <w:sz w:val="18"/>
          <w:u w:val="single"/>
        </w:rPr>
        <w:t>Controlled Affiliate</w:t>
      </w:r>
      <w:r>
        <w:rPr>
          <w:rFonts w:cs="Arial" w:ascii="Arial" w:hAnsi="Arial"/>
          <w:sz w:val="18"/>
        </w:rPr>
        <w:t>” means in the case of a Person, any other Person in which the first Person (a) owns, directly or indirectly, more than 50% of the outstanding voting securities of such other Person, or (b) has, directly or indirectly, the power or authority, through the ownership of voting securities, by contract or otherwise, to (i) designate or elect more than 50% of the board of directors or governing body of such Person, or (ii) direct or control the direction of the management of the other Person (and not merely influence) in a manner comparable to that which would normally be obtained by owning more than 50% of the outstanding voting securities thereof, including by serving as a general partner in a general or limited partnership or a managing member of a limited liability company.  For purposes of the Noncompete only, Cortez is deemed to be a Controlled Affiliate of Enron, and EMW and its Controlled Affiliates are deemed not to be Controlled Affiliates of Enron, EES or any of their Controlled Affiliates.</w:t>
      </w:r>
    </w:p>
    <w:p>
      <w:pPr>
        <w:pStyle w:val="EndnoteText"/>
        <w:ind w:hanging="360" w:start="360" w:end="0"/>
        <w:jc w:val="both"/>
        <w:rPr>
          <w:rFonts w:ascii="Arial" w:hAnsi="Arial" w:cs="Arial"/>
          <w:sz w:val="18"/>
        </w:rPr>
      </w:pPr>
      <w:r>
        <w:rPr>
          <w:rFonts w:cs="Arial" w:ascii="Arial" w:hAnsi="Arial"/>
          <w:sz w:val="18"/>
        </w:rPr>
      </w:r>
    </w:p>
  </w:endnote>
  <w:endnote w:id="3">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EMW Common Stock</w:t>
      </w:r>
      <w:r>
        <w:rPr>
          <w:rFonts w:cs="Arial" w:ascii="Arial" w:hAnsi="Arial"/>
          <w:sz w:val="18"/>
        </w:rPr>
        <w:t>” means shares of common stock of EMW, $.01 par value per share.</w:t>
      </w:r>
    </w:p>
    <w:p>
      <w:pPr>
        <w:pStyle w:val="EndnoteText"/>
        <w:ind w:hanging="360" w:start="360" w:end="0"/>
        <w:jc w:val="both"/>
        <w:rPr>
          <w:rFonts w:ascii="Arial" w:hAnsi="Arial" w:cs="Arial"/>
          <w:sz w:val="18"/>
        </w:rPr>
      </w:pPr>
      <w:r>
        <w:rPr>
          <w:rFonts w:cs="Arial" w:ascii="Arial" w:hAnsi="Arial"/>
          <w:sz w:val="18"/>
        </w:rPr>
      </w:r>
    </w:p>
  </w:endnote>
  <w:endnote w:id="4">
    <w:p>
      <w:pPr>
        <w:pStyle w:val="EndnoteText"/>
        <w:ind w:hanging="360" w:start="360" w:end="0"/>
        <w:jc w:val="both"/>
        <w:rPr/>
      </w:pPr>
      <w:r>
        <w:rPr>
          <w:rStyle w:val="EndnoteCharacters"/>
        </w:rPr>
        <w:endnoteRef/>
      </w:r>
      <w:r>
        <w:rPr>
          <w:rFonts w:cs="Arial" w:ascii="Arial" w:hAnsi="Arial"/>
          <w:sz w:val="18"/>
        </w:rPr>
        <w:tab/>
        <w:t>Determined by dividing (i) the sum of the number of shares of EMW Common Stock then owned by Enron and its Controlled Affiliates and the number of shares of EMW Common Stock then issuable to Enron and its Controlled Affiliates pursuant to all outstanding rights, warrants, options, convertible securities or exchangeable securities, exercisable for or convertible or exchangeable into, directly or indirectly, EMW Common Stock (whether or not such securities are then exercisable or convertible) by (ii) the sum of the number of shares of EMW Common Stock then outstanding and the number of shares of EMW Common Stock then issuable pursuant to all then outstanding rights, warrants, options, convertible securities or exchangeable securities, exercisable for or convertible or exchangeable into, directly or indirectly, EMW Common Stock (whether or not such securities are then exercisable or convertible), with such quotient expressed as a percentage.</w:t>
      </w:r>
    </w:p>
    <w:p>
      <w:pPr>
        <w:pStyle w:val="EndnoteText"/>
        <w:ind w:hanging="360" w:start="360" w:end="0"/>
        <w:jc w:val="both"/>
        <w:rPr>
          <w:rFonts w:ascii="Arial" w:hAnsi="Arial" w:cs="Arial"/>
          <w:sz w:val="18"/>
        </w:rPr>
      </w:pPr>
      <w:r>
        <w:rPr>
          <w:rFonts w:cs="Arial" w:ascii="Arial" w:hAnsi="Arial"/>
          <w:sz w:val="18"/>
        </w:rPr>
      </w:r>
    </w:p>
  </w:endnote>
  <w:endnote w:id="5">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Equity security</w:t>
      </w:r>
      <w:r>
        <w:rPr>
          <w:rFonts w:cs="Arial" w:ascii="Arial" w:hAnsi="Arial"/>
          <w:sz w:val="18"/>
        </w:rPr>
        <w:t>” has the meaning set forth in Rule 3a11-1 under the Securities Exchange Act, which is defined to include any stock or similar security, certificate of interest or participation in any profit sharing agreement, preorganization certificate or subscription, transferable share, voting trust certificate or certificate of deposit for any equity security, limited partnership interest, interest in a joint venture, or certificate of interest in a business trust; or any security convertible, with or without consideration into such a security, or carrying any warrant or right to subscribe to or purchase such a security; or any such warrant or right; or any put, call, straddle, or other option or privilege of buying such a security from or selling such a security to another without being bound to do so.</w:t>
      </w:r>
    </w:p>
    <w:p>
      <w:pPr>
        <w:pStyle w:val="EndnoteText"/>
        <w:jc w:val="both"/>
        <w:rPr>
          <w:rFonts w:ascii="Arial" w:hAnsi="Arial" w:cs="Arial"/>
          <w:sz w:val="18"/>
        </w:rPr>
      </w:pPr>
      <w:r>
        <w:rPr>
          <w:rFonts w:cs="Arial" w:ascii="Arial" w:hAnsi="Arial"/>
          <w:sz w:val="18"/>
        </w:rPr>
      </w:r>
    </w:p>
  </w:endnote>
  <w:endnote w:id="6">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Change of Control</w:t>
      </w:r>
      <w:r>
        <w:rPr>
          <w:rFonts w:cs="Arial" w:ascii="Arial" w:hAnsi="Arial"/>
          <w:sz w:val="18"/>
        </w:rPr>
        <w:t xml:space="preserve">” means </w:t>
      </w:r>
      <w:r>
        <w:rPr>
          <w:rStyle w:val="InitialStyle"/>
          <w:rFonts w:cs="Arial" w:ascii="Arial" w:hAnsi="Arial"/>
          <w:sz w:val="18"/>
        </w:rPr>
        <w:t xml:space="preserve">a transaction is consummated by which Enron (or any successor of Enron) merges or consolidates with any other Person; </w:t>
      </w:r>
      <w:r>
        <w:rPr>
          <w:rStyle w:val="InitialStyle"/>
          <w:rFonts w:cs="Arial" w:ascii="Arial" w:hAnsi="Arial"/>
          <w:i/>
          <w:sz w:val="18"/>
        </w:rPr>
        <w:t xml:space="preserve">provided, </w:t>
      </w:r>
      <w:r>
        <w:rPr>
          <w:rStyle w:val="InitialStyle"/>
          <w:rFonts w:cs="Arial" w:ascii="Arial" w:hAnsi="Arial"/>
          <w:sz w:val="18"/>
        </w:rPr>
        <w:t>that any such merger or consolidation shall not constitute a “Change of Control” in the event that (a) the stockholders of Enron on the date immediately preceding the date of consummation of the merger or consolidation (or if a tender or exchange offer was consummated in connection with such merger or consolidation, then immediately preceding the date of consummation of such tender or exchange offer) beneficially own, on the date immediately following the consummation of such merger or consolidation, 51% or more of the outstanding shares of common stock of the surviving Person (or if the surviving Person is a subsidiary of another Person, then of such other Person), or (b) the individuals who constitute the members of Enron’s board of directors on the date immediately preceding the date of consummation of the merger or consolidation (or if a tender or exchange offer was consummated in connection with such merger or consolidation, then immediately preceding the date of consummation of such tender or exchange offer) constitute at least a majority of the board of directors of the surviving Person (or if the surviving Person is a subsidiary of another Person, then of such other Person) on the date immediately following the consummation of such merger or consolidation.</w:t>
      </w:r>
    </w:p>
    <w:p>
      <w:pPr>
        <w:pStyle w:val="EndnoteText"/>
        <w:ind w:hanging="360" w:start="360" w:end="0"/>
        <w:jc w:val="both"/>
        <w:rPr>
          <w:rStyle w:val="InitialStyle"/>
          <w:rFonts w:ascii="Arial" w:hAnsi="Arial" w:cs="Arial"/>
          <w:sz w:val="18"/>
        </w:rPr>
      </w:pPr>
      <w:r>
        <w:rPr/>
      </w:r>
    </w:p>
  </w:endnote>
  <w:endnote w:id="7">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IPO</w:t>
      </w:r>
      <w:r>
        <w:rPr>
          <w:rFonts w:cs="Arial" w:ascii="Arial" w:hAnsi="Arial"/>
          <w:sz w:val="18"/>
        </w:rPr>
        <w:t>” means the first consummation of a firm commitment underwritten public offering of shares of EMW Common Stock registered under the Securities Act.</w:t>
      </w:r>
    </w:p>
    <w:p>
      <w:pPr>
        <w:pStyle w:val="EndnoteText"/>
        <w:ind w:hanging="360" w:start="360" w:end="0"/>
        <w:jc w:val="both"/>
        <w:rPr>
          <w:rFonts w:ascii="Arial" w:hAnsi="Arial" w:cs="Arial"/>
          <w:sz w:val="18"/>
        </w:rPr>
      </w:pPr>
      <w:r>
        <w:rPr>
          <w:rFonts w:cs="Arial" w:ascii="Arial" w:hAnsi="Arial"/>
          <w:sz w:val="18"/>
        </w:rPr>
      </w:r>
    </w:p>
  </w:endnote>
  <w:endnote w:id="8">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Initial Party Securities</w:t>
      </w:r>
      <w:r>
        <w:rPr>
          <w:rFonts w:cs="Arial" w:ascii="Arial" w:hAnsi="Arial"/>
          <w:sz w:val="18"/>
        </w:rPr>
        <w:t>” means the Common Stock of EMW and Common Stock Equivalents of EMW that are then held by any Investor Group Holder who is an Initial Party or a Permitted Investor Transferee thereof (as such terms are defined in the Stockholders Agreement).</w:t>
      </w:r>
    </w:p>
    <w:p>
      <w:pPr>
        <w:pStyle w:val="EndnoteText"/>
        <w:ind w:hanging="360" w:start="360" w:end="0"/>
        <w:jc w:val="both"/>
        <w:rPr>
          <w:rFonts w:ascii="Arial" w:hAnsi="Arial" w:cs="Arial"/>
          <w:sz w:val="18"/>
        </w:rPr>
      </w:pPr>
      <w:r>
        <w:rPr>
          <w:rFonts w:cs="Arial" w:ascii="Arial" w:hAnsi="Arial"/>
          <w:sz w:val="18"/>
        </w:rPr>
      </w:r>
    </w:p>
  </w:endnote>
  <w:endnote w:id="9">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Holder</w:t>
      </w:r>
      <w:r>
        <w:rPr>
          <w:rFonts w:cs="Arial" w:ascii="Arial" w:hAnsi="Arial"/>
          <w:sz w:val="18"/>
        </w:rPr>
        <w:t>” means a holder of Initial Party Securities.</w:t>
      </w:r>
    </w:p>
    <w:p>
      <w:pPr>
        <w:pStyle w:val="EndnoteText"/>
        <w:jc w:val="both"/>
        <w:rPr>
          <w:rFonts w:ascii="Arial" w:hAnsi="Arial" w:cs="Arial"/>
          <w:sz w:val="18"/>
        </w:rPr>
      </w:pPr>
      <w:r>
        <w:rPr>
          <w:rFonts w:cs="Arial" w:ascii="Arial" w:hAnsi="Arial"/>
          <w:sz w:val="18"/>
        </w:rPr>
      </w:r>
    </w:p>
  </w:endnote>
  <w:endnote w:id="10">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Stockholders Agreement</w:t>
      </w:r>
      <w:r>
        <w:rPr>
          <w:rFonts w:cs="Arial" w:ascii="Arial" w:hAnsi="Arial"/>
          <w:sz w:val="18"/>
        </w:rPr>
        <w:t>” means the Stockholders Agreement, dated as of January 6, 2000, by and among EMW, EES, DLJMB Funding II, Inc., DLJ Merchant Banking Partners II, L.P., DLJ Merchant Banking Partners II</w:t>
        <w:noBreakHyphen/>
        <w:t>A, L.P., DLJ Diversified Partners, L.P., DLJ Diversified Partners-A, L.P., DLJ Millennium Partners, L.P., DLJ Millennium Partners-A, L.P., DLJ First ESC L.P., DLJ Offshore Partners II, C.V., DLJ EAB Partners, L.P., DLJ ESC II, L.P., G.E. Capital Equity Investments, Inc., the California Public Employees’ Retirement System, the Ontario Teachers’ Pension Plan Board and Cortez.</w:t>
      </w:r>
    </w:p>
    <w:p>
      <w:pPr>
        <w:pStyle w:val="EndnoteText"/>
        <w:jc w:val="both"/>
        <w:rPr>
          <w:rFonts w:ascii="Arial" w:hAnsi="Arial" w:cs="Arial"/>
          <w:sz w:val="18"/>
        </w:rPr>
      </w:pPr>
      <w:r>
        <w:rPr>
          <w:rFonts w:cs="Arial" w:ascii="Arial" w:hAnsi="Arial"/>
          <w:sz w:val="18"/>
        </w:rPr>
      </w:r>
    </w:p>
  </w:endnote>
  <w:endnote w:id="11">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Cortez</w:t>
      </w:r>
      <w:r>
        <w:rPr>
          <w:rFonts w:cs="Arial" w:ascii="Arial" w:hAnsi="Arial"/>
          <w:sz w:val="18"/>
        </w:rPr>
        <w:t>” means Cortez Energy Services, LLC, a special purpose vehicle utilized by EES in the transaction.</w:t>
      </w:r>
    </w:p>
    <w:p>
      <w:pPr>
        <w:pStyle w:val="EndnoteText"/>
        <w:jc w:val="both"/>
        <w:rPr>
          <w:rFonts w:ascii="Arial" w:hAnsi="Arial" w:cs="Arial"/>
          <w:sz w:val="18"/>
        </w:rPr>
      </w:pPr>
      <w:r>
        <w:rPr>
          <w:rFonts w:cs="Arial" w:ascii="Arial" w:hAnsi="Arial"/>
          <w:sz w:val="18"/>
        </w:rPr>
      </w:r>
    </w:p>
  </w:endnote>
  <w:endnote w:id="12">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Person</w:t>
      </w:r>
      <w:r>
        <w:rPr>
          <w:rFonts w:cs="Arial" w:ascii="Arial" w:hAnsi="Arial"/>
          <w:sz w:val="18"/>
        </w:rPr>
        <w:t>” means a natural person, a corporation, a limited liability company, a joint stock company, a partnership, a limited partnership, a joint venture, a trust, an estate, an unincorporated organization, association, agency or any other entity.</w:t>
      </w:r>
    </w:p>
    <w:p>
      <w:pPr>
        <w:pStyle w:val="EndnoteText"/>
        <w:ind w:hanging="360" w:start="360" w:end="0"/>
        <w:jc w:val="both"/>
        <w:rPr>
          <w:rFonts w:ascii="Arial" w:hAnsi="Arial" w:cs="Arial"/>
          <w:sz w:val="18"/>
        </w:rPr>
      </w:pPr>
      <w:r>
        <w:rPr>
          <w:rFonts w:cs="Arial" w:ascii="Arial" w:hAnsi="Arial"/>
          <w:sz w:val="18"/>
        </w:rPr>
      </w:r>
    </w:p>
  </w:endnote>
  <w:endnote w:id="13">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Retail</w:t>
      </w:r>
      <w:r>
        <w:rPr>
          <w:rFonts w:cs="Arial" w:ascii="Arial" w:hAnsi="Arial"/>
          <w:sz w:val="18"/>
        </w:rPr>
        <w:t>” means any marketing, sale or other business to or with a Person who to the knowledge of Enron or EES or any of their respective Controlled Affiliates is the ultimate recipient or ultimate customer of commodities, products or services for final consumption or final use, and, to the knowledge of Enron, EES or any of their respective Controlled Affiliates, does not intend to resell, further distribute or disseminate such commodities, products or services, or purchase them for the account of any other Person.</w:t>
      </w:r>
    </w:p>
    <w:p>
      <w:pPr>
        <w:pStyle w:val="EndnoteText"/>
        <w:ind w:hanging="360" w:start="360" w:end="0"/>
        <w:jc w:val="both"/>
        <w:rPr>
          <w:rFonts w:ascii="Arial" w:hAnsi="Arial" w:cs="Arial"/>
          <w:sz w:val="18"/>
        </w:rPr>
      </w:pPr>
      <w:r>
        <w:rPr>
          <w:rFonts w:cs="Arial" w:ascii="Arial" w:hAnsi="Arial"/>
          <w:sz w:val="18"/>
        </w:rPr>
      </w:r>
    </w:p>
  </w:endnote>
  <w:endnote w:id="14">
    <w:p>
      <w:pPr>
        <w:pStyle w:val="EndnoteText"/>
        <w:ind w:hanging="360" w:start="360" w:end="0"/>
        <w:jc w:val="both"/>
        <w:rPr/>
      </w:pPr>
      <w:r>
        <w:rPr>
          <w:rStyle w:val="EndnoteCharacters"/>
        </w:rPr>
        <w:endnoteRef/>
      </w:r>
      <w:r>
        <w:rPr>
          <w:rFonts w:cs="Arial" w:ascii="Arial" w:hAnsi="Arial"/>
          <w:sz w:val="18"/>
        </w:rPr>
        <w:tab/>
        <w:t>“</w:t>
      </w:r>
      <w:r>
        <w:rPr>
          <w:rFonts w:cs="Arial" w:ascii="Arial" w:hAnsi="Arial"/>
          <w:sz w:val="18"/>
          <w:u w:val="single"/>
        </w:rPr>
        <w:t>United States</w:t>
      </w:r>
      <w:r>
        <w:rPr>
          <w:rFonts w:cs="Arial" w:ascii="Arial" w:hAnsi="Arial"/>
          <w:sz w:val="18"/>
        </w:rPr>
        <w:t>” means the 50 states within the United States, and the District of Columbia, but excluding any United States territories or possessions, such as Puerto Rico.</w:t>
      </w:r>
    </w:p>
    <w:p>
      <w:pPr>
        <w:pStyle w:val="EndnoteText"/>
        <w:ind w:hanging="360" w:start="360" w:end="0"/>
        <w:jc w:val="both"/>
        <w:rPr>
          <w:rFonts w:ascii="Arial" w:hAnsi="Arial" w:cs="Arial"/>
          <w:sz w:val="18"/>
        </w:rPr>
      </w:pPr>
      <w:r>
        <w:rPr>
          <w:rFonts w:cs="Arial" w:ascii="Arial" w:hAnsi="Arial"/>
          <w:sz w:val="18"/>
        </w:rPr>
      </w:r>
    </w:p>
  </w:endnote>
  <w:endnote w:id="15">
    <w:p>
      <w:pPr>
        <w:pStyle w:val="EndnoteText"/>
        <w:ind w:hanging="360" w:start="360" w:end="0"/>
        <w:jc w:val="both"/>
        <w:rPr/>
      </w:pPr>
      <w:r>
        <w:rPr>
          <w:rStyle w:val="EndnoteCharacters"/>
        </w:rPr>
        <w:endnoteRef/>
      </w:r>
      <w:r>
        <w:rPr>
          <w:rFonts w:cs="Arial" w:ascii="Arial" w:hAnsi="Arial"/>
          <w:sz w:val="18"/>
        </w:rPr>
        <w:tab/>
      </w:r>
      <w:r>
        <w:rPr>
          <w:rFonts w:cs="Arial" w:ascii="Arial" w:hAnsi="Arial"/>
          <w:sz w:val="18"/>
          <w:u w:val="single"/>
        </w:rPr>
        <w:t>Governmental Authority</w:t>
      </w:r>
      <w:r>
        <w:rPr>
          <w:rFonts w:cs="Arial" w:ascii="Arial" w:hAnsi="Arial"/>
          <w:sz w:val="18"/>
        </w:rPr>
        <w:t>” means a federal, state, local or foreign governmental or regulatory authority, including the United States of America;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or other representative of any of the foregoing.</w:t>
      </w:r>
    </w:p>
    <w:p>
      <w:pPr>
        <w:pStyle w:val="BodyText"/>
        <w:rPr>
          <w:rFonts w:ascii="Arial" w:hAnsi="Arial" w:cs="Arial"/>
          <w:sz w:val="16"/>
        </w:rPr>
      </w:pPr>
      <w:r>
        <w:rPr>
          <w:rFonts w:cs="Arial"/>
          <w:sz w:val="16"/>
        </w:rPr>
      </w:r>
    </w:p>
    <w:p>
      <w:pPr>
        <w:pStyle w:val="BodyText"/>
        <w:rPr>
          <w:sz w:val="16"/>
        </w:rPr>
      </w:pPr>
      <w:r>
        <w:rPr>
          <w:sz w:val="16"/>
        </w:rPr>
        <w:t>reicken\m&amp;a\resco\noncomp-execsum1a.doc</w:t>
      </w:r>
    </w:p>
    <w:p>
      <w:pPr>
        <w:pStyle w:val="EndnoteText"/>
        <w:rPr>
          <w:rFonts w:ascii="Arial" w:hAnsi="Arial" w:cs="Arial"/>
          <w:sz w:val="18"/>
        </w:rPr>
      </w:pPr>
      <w:r>
        <w:rPr>
          <w:rFonts w:cs="Arial" w:ascii="Arial" w:hAnsi="Arial"/>
          <w:sz w:val="18"/>
        </w:rPr>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22"/>
        <w:lang w:eastAsia="en-US"/>
      </w:rPr>
      <w:t xml:space="preserve">Page </w:t>
    </w:r>
    <w:r>
      <w:rPr>
        <w:rFonts w:cs="Arial" w:ascii="Arial" w:hAnsi="Arial"/>
        <w:sz w:val="22"/>
        <w:lang w:eastAsia="en-US"/>
      </w:rPr>
      <w:fldChar w:fldCharType="begin"/>
    </w:r>
    <w:r>
      <w:rPr>
        <w:sz w:val="22"/>
        <w:rFonts w:cs="Arial" w:ascii="Arial" w:hAnsi="Arial"/>
        <w:lang w:eastAsia="en-US"/>
      </w:rPr>
      <w:instrText xml:space="preserve"> PAGE </w:instrText>
    </w:r>
    <w:r>
      <w:rPr>
        <w:sz w:val="22"/>
        <w:rFonts w:cs="Arial" w:ascii="Arial" w:hAnsi="Arial"/>
        <w:lang w:eastAsia="en-US"/>
      </w:rPr>
      <w:fldChar w:fldCharType="separate"/>
    </w:r>
    <w:r>
      <w:rPr>
        <w:sz w:val="22"/>
        <w:rFonts w:cs="Arial" w:ascii="Arial" w:hAnsi="Arial"/>
        <w:lang w:eastAsia="en-US"/>
      </w:rPr>
      <w:t>8</w:t>
    </w:r>
    <w:r>
      <w:rPr>
        <w:sz w:val="22"/>
        <w:rFonts w:cs="Arial" w:ascii="Arial" w:hAnsi="Arial"/>
        <w:lang w:eastAsia="en-US"/>
      </w:rPr>
      <w:fldChar w:fldCharType="end"/>
    </w:r>
    <w:r>
      <w:rPr>
        <w:rFonts w:cs="Arial" w:ascii="Arial" w:hAnsi="Arial"/>
        <w:sz w:val="22"/>
        <w:lang w:eastAsia="en-US"/>
      </w:rPr>
      <w:t xml:space="preserve"> of 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22"/>
        <w:lang w:eastAsia="en-US"/>
      </w:rPr>
      <w:t xml:space="preserve">Page </w:t>
    </w:r>
    <w:r>
      <w:rPr>
        <w:rFonts w:cs="Arial" w:ascii="Arial" w:hAnsi="Arial"/>
        <w:sz w:val="22"/>
        <w:lang w:eastAsia="en-US"/>
      </w:rPr>
      <w:fldChar w:fldCharType="begin"/>
    </w:r>
    <w:r>
      <w:rPr>
        <w:sz w:val="22"/>
        <w:rFonts w:cs="Arial" w:ascii="Arial" w:hAnsi="Arial"/>
        <w:lang w:eastAsia="en-US"/>
      </w:rPr>
      <w:instrText xml:space="preserve"> PAGE </w:instrText>
    </w:r>
    <w:r>
      <w:rPr>
        <w:sz w:val="22"/>
        <w:rFonts w:cs="Arial" w:ascii="Arial" w:hAnsi="Arial"/>
        <w:lang w:eastAsia="en-US"/>
      </w:rPr>
      <w:fldChar w:fldCharType="separate"/>
    </w:r>
    <w:r>
      <w:rPr>
        <w:sz w:val="22"/>
        <w:rFonts w:cs="Arial" w:ascii="Arial" w:hAnsi="Arial"/>
        <w:lang w:eastAsia="en-US"/>
      </w:rPr>
      <w:t>1</w:t>
    </w:r>
    <w:r>
      <w:rPr>
        <w:sz w:val="22"/>
        <w:rFonts w:cs="Arial" w:ascii="Arial" w:hAnsi="Arial"/>
        <w:lang w:eastAsia="en-US"/>
      </w:rPr>
      <w:fldChar w:fldCharType="end"/>
    </w:r>
    <w:r>
      <w:rPr>
        <w:rFonts w:cs="Arial" w:ascii="Arial" w:hAnsi="Arial"/>
        <w:sz w:val="22"/>
        <w:lang w:eastAsia="en-US"/>
      </w:rPr>
      <w:t xml:space="preserve"> of 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02/01/00</w:t>
    </w:r>
  </w:p>
  <w:p>
    <w:pPr>
      <w:pStyle w:val="Header"/>
      <w:jc w:val="end"/>
      <w:rPr>
        <w:rFonts w:ascii="Arial" w:hAnsi="Arial" w:cs="Arial"/>
      </w:rPr>
    </w:pPr>
    <w:r>
      <w:rPr>
        <w:rFonts w:cs="Arial" w:ascii="Arial" w:hAnsi="Arial"/>
      </w:rPr>
      <w:t>Personal &amp; Confidential</w:t>
    </w:r>
  </w:p>
  <w:p>
    <w:pPr>
      <w:pStyle w:val="Header"/>
      <w:jc w:val="end"/>
      <w:rPr>
        <w:rFonts w:ascii="Arial" w:hAnsi="Arial" w:cs="Arial"/>
      </w:rPr>
    </w:pPr>
    <w:r>
      <w:rPr>
        <w:rFonts w:cs="Arial" w:ascii="Arial" w:hAnsi="Arial"/>
      </w:rPr>
    </w:r>
  </w:p>
  <w:p>
    <w:pPr>
      <w:pStyle w:val="Header"/>
      <w:jc w:val="end"/>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endnotePr>
    <w:pos w:val="sectEnd"/>
    <w:numFmt w:val="decimal"/>
    <w:endnote w:id="0"/>
    <w:endnote w:id="1"/>
  </w:end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character" w:styleId="WW8Num2z0">
    <w:name w:val="WW8Num2z0"/>
    <w:qFormat/>
    <w:rPr>
      <w:rFonts w:ascii="Symbol" w:hAnsi="Symbol" w:cs="Symbol"/>
      <w:color w:val="auto"/>
      <w:sz w:val="2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sz w:val="28"/>
    </w:rPr>
  </w:style>
  <w:style w:type="character" w:styleId="WW8Num12z0">
    <w:name w:val="WW8Num12z0"/>
    <w:qFormat/>
    <w:rPr>
      <w:rFonts w:ascii="Symbol" w:hAnsi="Symbol" w:cs="Symbol"/>
      <w:color w:val="auto"/>
      <w:sz w:val="28"/>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color w:val="auto"/>
      <w:sz w:val="28"/>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Times New Roman" w:hAnsi="Times New Roman" w:cs="Times New Roman"/>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style>
  <w:style w:type="character" w:styleId="WW8Num26z0">
    <w:name w:val="WW8Num26z0"/>
    <w:qFormat/>
    <w:rPr>
      <w:rFonts w:ascii="Times New Roman" w:hAnsi="Times New Roman" w:cs="Times New Roman"/>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color w:val="auto"/>
      <w:sz w:val="28"/>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color w:val="auto"/>
      <w:sz w:val="28"/>
    </w:rPr>
  </w:style>
  <w:style w:type="character" w:styleId="WW8Num37z0">
    <w:name w:val="WW8Num37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InitialStyle">
    <w:name w:val="InitialStyle"/>
    <w:qFormat/>
    <w:rPr>
      <w:rFonts w:ascii="Courier New" w:hAnsi="Courier New" w:cs="Courier New"/>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ind w:hanging="360" w:start="360" w:end="0"/>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firstLine="720" w:start="720" w:end="0"/>
      <w:jc w:val="both"/>
    </w:pPr>
    <w:rPr>
      <w:sz w:val="24"/>
    </w:rPr>
  </w:style>
  <w:style w:type="paragraph" w:styleId="BodyTextIndent2">
    <w:name w:val="Body Text Indent 2"/>
    <w:basedOn w:val="Normal"/>
    <w:qFormat/>
    <w:pPr>
      <w:ind w:hanging="720" w:start="720" w:end="0"/>
      <w:jc w:val="both"/>
    </w:pPr>
    <w:rPr>
      <w:rFonts w:ascii="Arial" w:hAnsi="Arial" w:cs="Arial"/>
      <w:sz w:val="24"/>
    </w:rPr>
  </w:style>
  <w:style w:type="paragraph" w:styleId="EndnoteText">
    <w:name w:val="endnote text"/>
    <w:basedOn w:val="Normal"/>
    <w:pPr/>
    <w:rPr/>
  </w:style>
  <w:style w:type="paragraph" w:styleId="BodyTextIndent3">
    <w:name w:val="Body Text Indent 3"/>
    <w:basedOn w:val="Normal"/>
    <w:qFormat/>
    <w:pPr>
      <w:ind w:hanging="360" w:start="1440" w:end="0"/>
      <w:jc w:val="both"/>
    </w:pPr>
    <w:rPr>
      <w:rFonts w:ascii="Arial" w:hAnsi="Arial" w:cs="Arial"/>
      <w:sz w:val="24"/>
    </w:rPr>
  </w:style>
  <w:style w:type="paragraph" w:styleId="TOC3">
    <w:name w:val="toc 3"/>
    <w:basedOn w:val="Normal"/>
    <w:next w:val="Normal"/>
    <w:pPr>
      <w:widowControl w:val="false"/>
      <w:tabs>
        <w:tab w:val="clear" w:pos="720"/>
        <w:tab w:val="right" w:pos="9360" w:leader="dot"/>
      </w:tabs>
      <w:suppressAutoHyphens w:val="true"/>
      <w:ind w:hanging="720" w:start="2160" w:end="720"/>
    </w:pPr>
    <w:rPr>
      <w:rFonts w:ascii="Courier New" w:hAnsi="Courier New" w:cs="Courier New"/>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endnotes" Target="end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2000-01-10T12:41:00Z</dcterms:created>
  <dc:creator>Robert Eickenroht</dc:creator>
  <dc:description/>
  <dc:language>en-CA</dc:language>
  <cp:lastModifiedBy>reicken</cp:lastModifiedBy>
  <cp:lastPrinted>1999-05-03T09:40:00Z</cp:lastPrinted>
  <dcterms:modified xsi:type="dcterms:W3CDTF">2000-02-01T17:47:00Z</dcterms:modified>
  <cp:revision>62</cp:revision>
  <dc:subject/>
  <dc:title/>
</cp:coreProperties>
</file>