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spacing w:val="-15"/>
        </w:rPr>
      </w:pPr>
      <w:r>
        <w:rPr>
          <w:spacing w:val="-15"/>
        </w:rPr>
        <w:t>Kiyoshi Niki</w:t>
      </w:r>
      <w:r>
        <mc:AlternateContent>
          <mc:Choice Requires="wps">
            <w:drawing>
              <wp:anchor behindDoc="0" distT="0" distB="0" distL="0" distR="0" simplePos="0" locked="0" layoutInCell="0" allowOverlap="1" relativeHeight="2">
                <wp:simplePos x="0" y="0"/>
                <wp:positionH relativeFrom="page">
                  <wp:posOffset>5121275</wp:posOffset>
                </wp:positionH>
                <wp:positionV relativeFrom="page">
                  <wp:posOffset>640715</wp:posOffset>
                </wp:positionV>
                <wp:extent cx="1524000" cy="254000"/>
                <wp:effectExtent l="0" t="0" r="0" b="0"/>
                <wp:wrapTopAndBottom/>
                <wp:docPr id="1" name="Frame1"/>
                <a:graphic xmlns:a="http://schemas.openxmlformats.org/drawingml/2006/main">
                  <a:graphicData uri="http://schemas.microsoft.com/office/word/2010/wordprocessingShape">
                    <wps:wsp>
                      <wps:cNvSpPr txBox="1"/>
                      <wps:spPr>
                        <a:xfrm>
                          <a:off x="0" y="0"/>
                          <a:ext cx="1524000" cy="254000"/>
                        </a:xfrm>
                        <a:prstGeom prst="rect"/>
                        <a:solidFill>
                          <a:srgbClr val="FFFFFF">
                            <a:alpha val="0"/>
                          </a:srgbClr>
                        </a:solidFill>
                      </wps:spPr>
                      <wps:txbx>
                        <w:txbxContent>
                          <w:p>
                            <w:pPr>
                              <w:pStyle w:val="Address1"/>
                              <w:rPr/>
                            </w:pPr>
                            <w:r>
                              <w:rPr>
                                <w:rFonts w:eastAsia="Times New Roman"/>
                              </w:rPr>
                              <w:t xml:space="preserve">   </w:t>
                            </w:r>
                            <w:r>
                              <w:rPr/>
                              <w:t>Phone: 81-3-5938-5980</w:t>
                            </w:r>
                          </w:p>
                          <w:p>
                            <w:pPr>
                              <w:pStyle w:val="Address1"/>
                              <w:rPr/>
                            </w:pPr>
                            <w:r>
                              <w:rPr/>
                              <w:t>e-mail: kniki@optimark.com</w:t>
                            </w:r>
                          </w:p>
                        </w:txbxContent>
                      </wps:txbx>
                      <wps:bodyPr anchor="t" lIns="0" tIns="0" rIns="0" bIns="0">
                        <a:noAutofit/>
                      </wps:bodyPr>
                    </wps:wsp>
                  </a:graphicData>
                </a:graphic>
              </wp:anchor>
            </w:drawing>
          </mc:Choice>
          <mc:Fallback>
            <w:pict>
              <v:rect fillcolor="#FFFFFF" style="position:absolute;rotation:-0;width:120pt;height:20pt;mso-wrap-distance-left:0pt;mso-wrap-distance-right:0pt;mso-wrap-distance-top:0pt;mso-wrap-distance-bottom:0pt;margin-top:50.45pt;mso-position-vertical-relative:page;margin-left:403.25pt;mso-position-horizontal-relative:page">
                <v:fill opacity="0f"/>
                <v:textbox inset="0in,0in,0in,0in">
                  <w:txbxContent>
                    <w:p>
                      <w:pPr>
                        <w:pStyle w:val="Address1"/>
                        <w:rPr/>
                      </w:pPr>
                      <w:r>
                        <w:rPr>
                          <w:rFonts w:eastAsia="Times New Roman"/>
                        </w:rPr>
                        <w:t xml:space="preserve">   </w:t>
                      </w:r>
                      <w:r>
                        <w:rPr/>
                        <w:t>Phone: 81-3-5938-5980</w:t>
                      </w:r>
                    </w:p>
                    <w:p>
                      <w:pPr>
                        <w:pStyle w:val="Address1"/>
                        <w:rPr/>
                      </w:pPr>
                      <w:r>
                        <w:rPr/>
                        <w:t>e-mail: kniki@optimark.com</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3658235</wp:posOffset>
                </wp:positionH>
                <wp:positionV relativeFrom="page">
                  <wp:posOffset>640715</wp:posOffset>
                </wp:positionV>
                <wp:extent cx="1527175" cy="254000"/>
                <wp:effectExtent l="0" t="0" r="0" b="0"/>
                <wp:wrapTopAndBottom/>
                <wp:docPr id="2" name="Frame2"/>
                <a:graphic xmlns:a="http://schemas.openxmlformats.org/drawingml/2006/main">
                  <a:graphicData uri="http://schemas.microsoft.com/office/word/2010/wordprocessingShape">
                    <wps:wsp>
                      <wps:cNvSpPr txBox="1"/>
                      <wps:spPr>
                        <a:xfrm>
                          <a:off x="0" y="0"/>
                          <a:ext cx="1527175" cy="254000"/>
                        </a:xfrm>
                        <a:prstGeom prst="rect"/>
                        <a:solidFill>
                          <a:srgbClr val="FFFFFF">
                            <a:alpha val="0"/>
                          </a:srgbClr>
                        </a:solidFill>
                      </wps:spPr>
                      <wps:txbx>
                        <w:txbxContent>
                          <w:p>
                            <w:pPr>
                              <w:pStyle w:val="Address2"/>
                              <w:rPr/>
                            </w:pPr>
                            <w:r>
                              <w:rPr/>
                              <w:t>2-25-2 Kami-Igusa, Suginami-Ku</w:t>
                            </w:r>
                          </w:p>
                          <w:p>
                            <w:pPr>
                              <w:pStyle w:val="Address2"/>
                              <w:rPr/>
                            </w:pPr>
                            <w:r>
                              <w:rPr/>
                              <w:t>Tokyo, Japan 167-0023</w:t>
                            </w:r>
                          </w:p>
                        </w:txbxContent>
                      </wps:txbx>
                      <wps:bodyPr anchor="t" lIns="0" tIns="0" rIns="0" bIns="0">
                        <a:noAutofit/>
                      </wps:bodyPr>
                    </wps:wsp>
                  </a:graphicData>
                </a:graphic>
              </wp:anchor>
            </w:drawing>
          </mc:Choice>
          <mc:Fallback>
            <w:pict>
              <v:rect fillcolor="#FFFFFF" style="position:absolute;rotation:-0;width:120.25pt;height:20pt;mso-wrap-distance-left:0pt;mso-wrap-distance-right:0pt;mso-wrap-distance-top:0pt;mso-wrap-distance-bottom:0pt;margin-top:50.45pt;mso-position-vertical-relative:page;margin-left:288.05pt;mso-position-horizontal-relative:page">
                <v:fill opacity="0f"/>
                <v:textbox inset="0in,0in,0in,0in">
                  <w:txbxContent>
                    <w:p>
                      <w:pPr>
                        <w:pStyle w:val="Address2"/>
                        <w:rPr/>
                      </w:pPr>
                      <w:r>
                        <w:rPr/>
                        <w:t>2-25-2 Kami-Igusa, Suginami-Ku</w:t>
                      </w:r>
                    </w:p>
                    <w:p>
                      <w:pPr>
                        <w:pStyle w:val="Address2"/>
                        <w:rPr/>
                      </w:pPr>
                      <w:r>
                        <w:rPr/>
                        <w:t>Tokyo, Japan 167-0023</w:t>
                      </w:r>
                    </w:p>
                  </w:txbxContent>
                </v:textbox>
                <w10:wrap type="topAndBottom"/>
              </v:rect>
            </w:pict>
          </mc:Fallback>
        </mc:AlternateContent>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Objective</w:t>
            </w:r>
          </w:p>
        </w:tc>
        <w:tc>
          <w:tcPr>
            <w:tcW w:w="6667" w:type="dxa"/>
            <w:tcBorders/>
          </w:tcPr>
          <w:p>
            <w:pPr>
              <w:pStyle w:val="Objective"/>
              <w:spacing w:before="220" w:after="220"/>
              <w:ind w:end="-389"/>
              <w:rPr/>
            </w:pPr>
            <w:r>
              <w:rPr/>
              <w:t xml:space="preserve">Senior Management position in the </w:t>
            </w:r>
            <w:r>
              <w:rPr/>
              <w:t xml:space="preserve">Energy, </w:t>
            </w:r>
            <w:r>
              <w:rPr/>
              <w:t>Financial</w:t>
            </w:r>
            <w:r>
              <w:rPr/>
              <w:t xml:space="preserve"> or High-Tech</w:t>
            </w:r>
            <w:r>
              <w:rPr/>
              <w:t xml:space="preserve"> Industry</w:t>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Experience</w:t>
            </w:r>
          </w:p>
        </w:tc>
        <w:tc>
          <w:tcPr>
            <w:tcW w:w="6667" w:type="dxa"/>
            <w:tcBorders/>
          </w:tcPr>
          <w:p>
            <w:pPr>
              <w:pStyle w:val="CompanyNameOne"/>
              <w:spacing w:before="220" w:after="40"/>
              <w:rPr/>
            </w:pPr>
            <w:r>
              <w:rPr/>
              <w:t>1999 - Present</w:t>
              <w:tab/>
              <w:t>OptiMark, Inc.</w:t>
              <w:tab/>
              <w:t>Tokyo, Japan</w:t>
            </w:r>
          </w:p>
          <w:p>
            <w:pPr>
              <w:pStyle w:val="JobTitle"/>
              <w:rPr/>
            </w:pPr>
            <w:r>
              <w:rPr/>
              <w:t>President, Japan</w:t>
            </w:r>
          </w:p>
          <w:p>
            <w:pPr>
              <w:pStyle w:val="Achievement"/>
              <w:rPr/>
            </w:pPr>
            <w:r>
              <w:rPr/>
              <w:t>Represents OptiMark, Inc. in Japan and is responsible for the Firm’s</w:t>
            </w:r>
          </w:p>
          <w:p>
            <w:pPr>
              <w:pStyle w:val="Achievement"/>
              <w:rPr/>
            </w:pPr>
            <w:r>
              <w:rPr/>
              <w:t>Japanese business.</w:t>
            </w:r>
          </w:p>
          <w:p>
            <w:pPr>
              <w:pStyle w:val="Achievement"/>
              <w:rPr/>
            </w:pPr>
            <w:r>
              <w:rPr/>
              <w:t xml:space="preserve">Successfully launched the Osaka Securities Exchange OptiMark Market </w:t>
            </w:r>
          </w:p>
          <w:p>
            <w:pPr>
              <w:pStyle w:val="Achievement"/>
              <w:rPr/>
            </w:pPr>
            <w:r>
              <w:rPr/>
              <w:t>(a $20 million project).</w:t>
            </w:r>
          </w:p>
          <w:p>
            <w:pPr>
              <w:pStyle w:val="Achievement"/>
              <w:rPr/>
            </w:pPr>
            <w:r>
              <w:rPr/>
              <w:t>My major roles include:</w:t>
            </w:r>
          </w:p>
          <w:p>
            <w:pPr>
              <w:pStyle w:val="Achievement"/>
              <w:numPr>
                <w:ilvl w:val="0"/>
                <w:numId w:val="2"/>
              </w:numPr>
              <w:rPr/>
            </w:pPr>
            <w:r>
              <w:rPr/>
              <w:t>Sales and Marketing of the OptiMark system  and its benefits to the Sell-side and Buy-side Users and to the B2B Exchanges</w:t>
            </w:r>
          </w:p>
          <w:p>
            <w:pPr>
              <w:pStyle w:val="Achievement"/>
              <w:numPr>
                <w:ilvl w:val="0"/>
                <w:numId w:val="2"/>
              </w:numPr>
              <w:rPr/>
            </w:pPr>
            <w:r>
              <w:rPr/>
              <w:t>Coordination with the Osaka Securities Exchange</w:t>
            </w:r>
          </w:p>
          <w:p>
            <w:pPr>
              <w:pStyle w:val="Achievement"/>
              <w:numPr>
                <w:ilvl w:val="0"/>
                <w:numId w:val="2"/>
              </w:numPr>
              <w:rPr/>
            </w:pPr>
            <w:r>
              <w:rPr/>
              <w:t xml:space="preserve">Definition of system specification and implementation of the </w:t>
            </w:r>
          </w:p>
          <w:p>
            <w:pPr>
              <w:pStyle w:val="Achievement"/>
              <w:ind w:start="1000" w:end="-360"/>
              <w:rPr/>
            </w:pPr>
            <w:r>
              <w:rPr/>
              <w:t xml:space="preserve">OptiMark system for the Japanese Market, bridging the two groups </w:t>
            </w:r>
          </w:p>
          <w:p>
            <w:pPr>
              <w:pStyle w:val="Achievement"/>
              <w:ind w:start="1000" w:end="-360"/>
              <w:rPr/>
            </w:pPr>
            <w:r>
              <w:rPr/>
              <w:t>in Japan and the US</w:t>
            </w:r>
          </w:p>
          <w:p>
            <w:pPr>
              <w:pStyle w:val="Achievement"/>
              <w:numPr>
                <w:ilvl w:val="0"/>
                <w:numId w:val="2"/>
              </w:numPr>
              <w:rPr/>
            </w:pPr>
            <w:r>
              <w:rPr/>
              <w:t>Development of algorithms for new trading methods, e.g. VWAP trading</w:t>
            </w:r>
          </w:p>
          <w:p>
            <w:pPr>
              <w:pStyle w:val="Achievement"/>
              <w:numPr>
                <w:ilvl w:val="0"/>
                <w:numId w:val="2"/>
              </w:numPr>
              <w:rPr/>
            </w:pPr>
            <w:r>
              <w:rPr/>
              <w:t>General management of the Tokyo Office</w:t>
            </w:r>
          </w:p>
          <w:p>
            <w:pPr>
              <w:pStyle w:val="Achievement"/>
              <w:rPr/>
            </w:pPr>
            <w:r>
              <w:rPr/>
            </w:r>
          </w:p>
          <w:p>
            <w:pPr>
              <w:pStyle w:val="Achievement"/>
              <w:rPr/>
            </w:pPr>
            <w:r>
              <w:rPr/>
              <w:t>Active member of the Market Micro Structure Forum consisting of members from the Academia, BoJ, Exchanges, Asset Managers, etc.</w:t>
            </w:r>
          </w:p>
          <w:p>
            <w:pPr>
              <w:pStyle w:val="Achievement"/>
              <w:rPr/>
            </w:pPr>
            <w:r>
              <w:rPr/>
            </w:r>
          </w:p>
          <w:p>
            <w:pPr>
              <w:pStyle w:val="Achievement"/>
              <w:rPr/>
            </w:pPr>
            <w:r>
              <w:rPr/>
              <w:t>1999 -  Present                 Japan OptiMark Systems, KK</w:t>
            </w:r>
          </w:p>
          <w:p>
            <w:pPr>
              <w:pStyle w:val="JobTitle"/>
              <w:rPr/>
            </w:pPr>
            <w:r>
              <w:rPr/>
              <w:t>Member of the Board</w:t>
            </w:r>
          </w:p>
          <w:p>
            <w:pPr>
              <w:pStyle w:val="Achievement"/>
              <w:rPr/>
            </w:pPr>
            <w:r>
              <w:rPr/>
              <w:t>Served as Board Member of the Joint Venture establish</w:t>
            </w:r>
            <w:r>
              <w:rPr/>
              <w:t>e</w:t>
            </w:r>
            <w:r>
              <w:rPr/>
              <w:t xml:space="preserve">d by Nikkei Newspapers, QUICK Corp. and OptiMark Inc.  </w:t>
            </w:r>
          </w:p>
          <w:p>
            <w:pPr>
              <w:pStyle w:val="Achievement"/>
              <w:rPr/>
            </w:pPr>
            <w:r>
              <w:rPr/>
              <w:t xml:space="preserve">Japan OptiMark Systems operates and maintains the OSE OptiMark </w:t>
            </w:r>
          </w:p>
          <w:p>
            <w:pPr>
              <w:pStyle w:val="Achievement"/>
              <w:rPr/>
            </w:pPr>
            <w:r>
              <w:rPr/>
              <w:t xml:space="preserve">Market. </w:t>
            </w:r>
          </w:p>
          <w:p>
            <w:pPr>
              <w:pStyle w:val="CompanyName"/>
              <w:rPr/>
            </w:pPr>
            <w:r>
              <w:rPr/>
              <w:t>1996 - 1999</w:t>
              <w:tab/>
              <w:t>Salomon Brothers Asia/Nikko Salomon Smith Barney</w:t>
              <w:tab/>
              <w:t xml:space="preserve">                                                                 Tokyo, Japan</w:t>
            </w:r>
          </w:p>
          <w:p>
            <w:pPr>
              <w:pStyle w:val="JobTitle"/>
              <w:rPr/>
            </w:pPr>
            <w:r>
              <w:rPr/>
              <w:t>Head of Business Technology Organization</w:t>
            </w:r>
          </w:p>
          <w:p>
            <w:pPr>
              <w:pStyle w:val="Achievement"/>
              <w:rPr/>
            </w:pPr>
            <w:r>
              <w:rPr/>
              <w:t xml:space="preserve">Responsible for all technology of the Tokyo Office (1,200 employees, </w:t>
            </w:r>
          </w:p>
          <w:p>
            <w:pPr>
              <w:pStyle w:val="Achievement"/>
              <w:rPr/>
            </w:pPr>
            <w:r>
              <w:rPr/>
              <w:t>$40 million annual budget)</w:t>
            </w:r>
          </w:p>
          <w:p>
            <w:pPr>
              <w:pStyle w:val="Achievement"/>
              <w:rPr/>
            </w:pPr>
            <w:r>
              <w:rPr/>
              <w:t xml:space="preserve">Worked very closely with the Global Business Management for </w:t>
            </w:r>
          </w:p>
          <w:p>
            <w:pPr>
              <w:pStyle w:val="Achievement"/>
              <w:rPr/>
            </w:pPr>
            <w:r>
              <w:rPr/>
              <w:t>development and operation of systems such as:</w:t>
            </w:r>
          </w:p>
          <w:p>
            <w:pPr>
              <w:pStyle w:val="Achievement"/>
              <w:numPr>
                <w:ilvl w:val="0"/>
                <w:numId w:val="3"/>
              </w:numPr>
              <w:rPr/>
            </w:pPr>
            <w:r>
              <w:rPr/>
              <w:t>Trading System</w:t>
            </w:r>
            <w:r>
              <w:rPr/>
              <w:t>s</w:t>
            </w:r>
          </w:p>
          <w:p>
            <w:pPr>
              <w:pStyle w:val="Achievement"/>
              <w:ind w:firstLine="600" w:end="-360"/>
              <w:rPr/>
            </w:pPr>
            <w:r>
              <w:rPr/>
              <w:t xml:space="preserve">Yen </w:t>
            </w:r>
            <w:r>
              <w:rPr/>
              <w:t>Equities</w:t>
            </w:r>
            <w:r>
              <w:rPr/>
              <w:t xml:space="preserve"> (Basket , individual trading)</w:t>
            </w:r>
          </w:p>
          <w:p>
            <w:pPr>
              <w:pStyle w:val="Achievement"/>
              <w:ind w:firstLine="600" w:end="-360"/>
              <w:rPr/>
            </w:pPr>
            <w:r>
              <w:rPr/>
              <w:t>Fixed Income</w:t>
            </w:r>
            <w:r>
              <w:rPr/>
              <w:t xml:space="preserve"> (JGB)</w:t>
            </w:r>
          </w:p>
          <w:p>
            <w:pPr>
              <w:pStyle w:val="Achievement"/>
              <w:ind w:firstLine="600" w:end="-360"/>
              <w:rPr/>
            </w:pPr>
            <w:r>
              <w:rPr/>
              <w:t>Derivatives</w:t>
            </w:r>
            <w:r>
              <w:rPr/>
              <w:t xml:space="preserve"> ( Yen Index Futures &amp; Options, Single Stock Options)</w:t>
            </w:r>
          </w:p>
          <w:p>
            <w:pPr>
              <w:pStyle w:val="Achievement"/>
              <w:numPr>
                <w:ilvl w:val="0"/>
                <w:numId w:val="3"/>
              </w:numPr>
              <w:rPr/>
            </w:pPr>
            <w:r>
              <w:rPr/>
              <w:t>Risk Management Systems</w:t>
            </w:r>
          </w:p>
          <w:p>
            <w:pPr>
              <w:pStyle w:val="Achievement"/>
              <w:ind w:firstLine="600" w:end="-360"/>
              <w:rPr/>
            </w:pPr>
            <w:r>
              <w:rPr/>
              <w:t>Yen Equities</w:t>
            </w:r>
          </w:p>
          <w:p>
            <w:pPr>
              <w:pStyle w:val="Achievement"/>
              <w:ind w:firstLine="600" w:end="-360"/>
              <w:rPr/>
            </w:pPr>
            <w:r>
              <w:rPr/>
              <w:t>Fixed Income (JGB)</w:t>
            </w:r>
          </w:p>
          <w:p>
            <w:pPr>
              <w:pStyle w:val="Achievement"/>
              <w:ind w:firstLine="600" w:end="-360"/>
              <w:rPr/>
            </w:pPr>
            <w:r>
              <w:rPr/>
              <w:t>Contractuals (Swaps)</w:t>
            </w:r>
          </w:p>
          <w:p>
            <w:pPr>
              <w:pStyle w:val="Achievement"/>
              <w:numPr>
                <w:ilvl w:val="0"/>
                <w:numId w:val="3"/>
              </w:numPr>
              <w:rPr/>
            </w:pPr>
            <w:r>
              <w:rPr/>
              <w:t>Clearance &amp; Settlement systems</w:t>
            </w:r>
          </w:p>
          <w:p>
            <w:pPr>
              <w:pStyle w:val="Achievement"/>
              <w:ind w:firstLine="600" w:end="-360"/>
              <w:rPr/>
            </w:pPr>
            <w:r>
              <w:rPr/>
              <w:t>Yen Equities</w:t>
            </w:r>
          </w:p>
          <w:p>
            <w:pPr>
              <w:pStyle w:val="Achievement"/>
              <w:ind w:firstLine="600" w:end="-360"/>
              <w:rPr/>
            </w:pPr>
            <w:r>
              <w:rPr/>
              <w:t>Yen Bonds</w:t>
            </w:r>
          </w:p>
          <w:p>
            <w:pPr>
              <w:pStyle w:val="Achievement"/>
              <w:ind w:firstLine="600" w:end="-360"/>
              <w:rPr/>
            </w:pPr>
            <w:r>
              <w:rPr/>
              <w:t>Futures and Options (Yen Equities Index, JGB Futures)</w:t>
            </w:r>
          </w:p>
          <w:p>
            <w:pPr>
              <w:pStyle w:val="Achievement"/>
              <w:ind w:firstLine="600" w:end="-360"/>
              <w:rPr/>
            </w:pPr>
            <w:r>
              <w:rPr/>
              <w:t xml:space="preserve">Self Clearance </w:t>
            </w:r>
          </w:p>
          <w:p>
            <w:pPr>
              <w:pStyle w:val="Achievement"/>
              <w:rPr/>
            </w:pPr>
            <w:r>
              <w:rPr/>
            </w:r>
          </w:p>
          <w:p>
            <w:pPr>
              <w:pStyle w:val="Achievement"/>
              <w:rPr/>
            </w:pPr>
            <w:r>
              <w:rPr/>
              <w:t>Managed 170 engineers (9 nationalities)</w:t>
            </w:r>
          </w:p>
          <w:p>
            <w:pPr>
              <w:pStyle w:val="Achievement"/>
              <w:rPr/>
            </w:pPr>
            <w:r>
              <w:rPr/>
              <w:t xml:space="preserve">Was a key members for the planning and execution of the two merger projects with Nikko Securities and Smith Barney.  Played an instrumental in the definition of the Firm’s systems and facility requirement and Back </w:t>
            </w:r>
          </w:p>
          <w:p>
            <w:pPr>
              <w:pStyle w:val="Achievement"/>
              <w:spacing w:before="0" w:after="60"/>
              <w:rPr/>
            </w:pPr>
            <w:r>
              <w:rPr/>
              <w:t>Office structure.</w:t>
            </w:r>
          </w:p>
        </w:tc>
      </w:tr>
      <w:tr>
        <w:trPr/>
        <w:tc>
          <w:tcPr>
            <w:tcW w:w="2160" w:type="dxa"/>
            <w:tcBorders/>
          </w:tcPr>
          <w:p>
            <w:pPr>
              <w:pStyle w:val="Normal"/>
              <w:snapToGrid w:val="false"/>
              <w:rPr/>
            </w:pPr>
            <w:r>
              <w:rPr/>
            </w:r>
          </w:p>
        </w:tc>
        <w:tc>
          <w:tcPr>
            <w:tcW w:w="6667" w:type="dxa"/>
            <w:tcBorders/>
          </w:tcPr>
          <w:p>
            <w:pPr>
              <w:pStyle w:val="Achievement"/>
              <w:snapToGrid w:val="false"/>
              <w:spacing w:before="0" w:after="60"/>
              <w:rPr/>
            </w:pPr>
            <w:r>
              <w:rPr/>
            </w:r>
          </w:p>
        </w:tc>
      </w:tr>
      <w:tr>
        <w:trPr/>
        <w:tc>
          <w:tcPr>
            <w:tcW w:w="2160" w:type="dxa"/>
            <w:tcBorders/>
          </w:tcPr>
          <w:p>
            <w:pPr>
              <w:pStyle w:val="Normal"/>
              <w:snapToGrid w:val="false"/>
              <w:rPr/>
            </w:pPr>
            <w:r>
              <w:rPr/>
            </w:r>
          </w:p>
        </w:tc>
        <w:tc>
          <w:tcPr>
            <w:tcW w:w="6667" w:type="dxa"/>
            <w:tcBorders/>
          </w:tcPr>
          <w:p>
            <w:pPr>
              <w:pStyle w:val="CompanyName"/>
              <w:spacing w:lineRule="atLeast" w:line="220" w:before="220" w:after="40"/>
              <w:ind w:hanging="0" w:start="0" w:end="-360"/>
              <w:rPr/>
            </w:pPr>
            <w:r>
              <w:rPr/>
              <w:t>1991 - 1996</w:t>
              <w:tab/>
              <w:t>Salomon Brothers Asia</w:t>
              <w:tab/>
              <w:t>Tokyo , Japan</w:t>
            </w:r>
          </w:p>
          <w:p>
            <w:pPr>
              <w:pStyle w:val="JobTitle"/>
              <w:rPr/>
            </w:pPr>
            <w:r>
              <w:rPr/>
              <w:t>Director,  Business Technology Organization</w:t>
            </w:r>
          </w:p>
          <w:p>
            <w:pPr>
              <w:pStyle w:val="Achievement"/>
              <w:rPr/>
            </w:pPr>
            <w:r>
              <w:rPr/>
              <w:t>Responsible for Front Office and Back Office systems development</w:t>
            </w:r>
          </w:p>
          <w:p>
            <w:pPr>
              <w:pStyle w:val="Achievement"/>
              <w:rPr/>
            </w:pPr>
            <w:r>
              <w:rPr/>
              <w:t>Managed 50 engineers</w:t>
            </w:r>
          </w:p>
          <w:p>
            <w:pPr>
              <w:pStyle w:val="Achievement"/>
              <w:spacing w:before="0" w:after="60"/>
              <w:ind w:hanging="0" w:start="600" w:end="-360"/>
              <w:rPr/>
            </w:pPr>
            <w:r>
              <w:rPr/>
              <w:t>Successfully reduced system cost through implementation of in-house distributed systems</w:t>
            </w:r>
          </w:p>
        </w:tc>
      </w:tr>
      <w:tr>
        <w:trPr/>
        <w:tc>
          <w:tcPr>
            <w:tcW w:w="2160" w:type="dxa"/>
            <w:tcBorders/>
          </w:tcPr>
          <w:p>
            <w:pPr>
              <w:pStyle w:val="Normal"/>
              <w:snapToGrid w:val="false"/>
              <w:rPr/>
            </w:pPr>
            <w:r>
              <w:rPr/>
            </w:r>
          </w:p>
        </w:tc>
        <w:tc>
          <w:tcPr>
            <w:tcW w:w="6667" w:type="dxa"/>
            <w:tcBorders/>
          </w:tcPr>
          <w:p>
            <w:pPr>
              <w:pStyle w:val="CompanyName"/>
              <w:spacing w:lineRule="atLeast" w:line="220" w:before="220" w:after="40"/>
              <w:ind w:hanging="0" w:start="0" w:end="-360"/>
              <w:rPr/>
            </w:pPr>
            <w:r>
              <w:rPr/>
              <w:t>1979 - 1991</w:t>
              <w:tab/>
              <w:t>Toshiba Corporation</w:t>
              <w:tab/>
              <w:t>Tokyo, Japan</w:t>
            </w:r>
          </w:p>
          <w:p>
            <w:pPr>
              <w:pStyle w:val="JobTitle"/>
              <w:rPr/>
            </w:pPr>
            <w:r>
              <w:rPr/>
              <w:t>Manager, Nuclear Systems Development Department</w:t>
            </w:r>
          </w:p>
          <w:p>
            <w:pPr>
              <w:pStyle w:val="Achievement"/>
              <w:rPr/>
            </w:pPr>
            <w:r>
              <w:rPr/>
              <w:t>Responsible for systems development for nuclear power plants, nuclear fusion and accelerators</w:t>
            </w:r>
          </w:p>
          <w:p>
            <w:pPr>
              <w:pStyle w:val="Achievement"/>
              <w:rPr/>
            </w:pPr>
            <w:r>
              <w:rPr/>
              <w:t>Managed system development for systems such as:</w:t>
            </w:r>
          </w:p>
          <w:p>
            <w:pPr>
              <w:pStyle w:val="Achievement"/>
              <w:numPr>
                <w:ilvl w:val="0"/>
                <w:numId w:val="3"/>
              </w:numPr>
              <w:rPr/>
            </w:pPr>
            <w:r>
              <w:rPr/>
              <w:t>BWR</w:t>
            </w:r>
          </w:p>
          <w:p>
            <w:pPr>
              <w:pStyle w:val="Achievement"/>
              <w:ind w:start="800" w:end="-360"/>
              <w:rPr/>
            </w:pPr>
            <w:r>
              <w:rPr/>
              <w:t>Central plant supervisory control system</w:t>
            </w:r>
          </w:p>
          <w:p>
            <w:pPr>
              <w:pStyle w:val="Achievement"/>
              <w:ind w:start="800" w:end="-360"/>
              <w:rPr/>
            </w:pPr>
            <w:r>
              <w:rPr/>
              <w:t>Core performance calculation and prediction system</w:t>
            </w:r>
          </w:p>
          <w:p>
            <w:pPr>
              <w:pStyle w:val="Achievement"/>
              <w:ind w:start="800" w:end="-360"/>
              <w:rPr/>
            </w:pPr>
            <w:r>
              <w:rPr/>
              <w:t>Rad-waste processing system</w:t>
            </w:r>
          </w:p>
          <w:p>
            <w:pPr>
              <w:pStyle w:val="Achievement"/>
              <w:ind w:start="800" w:end="-360"/>
              <w:rPr/>
            </w:pPr>
            <w:r>
              <w:rPr/>
              <w:t>Safety parameter display system</w:t>
            </w:r>
          </w:p>
          <w:p>
            <w:pPr>
              <w:pStyle w:val="Achievement"/>
              <w:ind w:start="800" w:end="-360"/>
              <w:rPr/>
            </w:pPr>
            <w:r>
              <w:rPr/>
              <w:t>Turbine automation control system</w:t>
            </w:r>
          </w:p>
          <w:p>
            <w:pPr>
              <w:pStyle w:val="Achievement"/>
              <w:ind w:start="800" w:end="-360"/>
              <w:rPr/>
            </w:pPr>
            <w:r>
              <w:rPr/>
              <w:t>Automatic refueling platform</w:t>
            </w:r>
          </w:p>
          <w:p>
            <w:pPr>
              <w:pStyle w:val="Achievement"/>
              <w:ind w:start="800" w:end="-360"/>
              <w:rPr/>
            </w:pPr>
            <w:r>
              <w:rPr/>
              <w:t>Intelligent display system</w:t>
            </w:r>
          </w:p>
          <w:p>
            <w:pPr>
              <w:pStyle w:val="Achievement"/>
              <w:ind w:start="800" w:end="-360"/>
              <w:rPr/>
            </w:pPr>
            <w:r>
              <w:rPr/>
              <w:t>Training simulator</w:t>
            </w:r>
          </w:p>
          <w:p>
            <w:pPr>
              <w:pStyle w:val="Achievement"/>
              <w:ind w:start="800" w:end="-360"/>
              <w:rPr/>
            </w:pPr>
            <w:r>
              <w:rPr/>
              <w:t>Expert systems</w:t>
            </w:r>
          </w:p>
          <w:p>
            <w:pPr>
              <w:pStyle w:val="Achievement"/>
              <w:numPr>
                <w:ilvl w:val="0"/>
                <w:numId w:val="3"/>
              </w:numPr>
              <w:rPr/>
            </w:pPr>
            <w:r>
              <w:rPr/>
              <w:t>FBR</w:t>
            </w:r>
          </w:p>
          <w:p>
            <w:pPr>
              <w:pStyle w:val="Achievement"/>
              <w:ind w:start="800" w:end="-360"/>
              <w:rPr/>
            </w:pPr>
            <w:r>
              <w:rPr/>
              <w:t>Automatic refueling system</w:t>
            </w:r>
          </w:p>
          <w:p>
            <w:pPr>
              <w:pStyle w:val="Achievement"/>
              <w:ind w:start="800" w:end="-360"/>
              <w:rPr/>
            </w:pPr>
            <w:r>
              <w:rPr/>
              <w:t>Under-sodium viewer</w:t>
            </w:r>
          </w:p>
          <w:p>
            <w:pPr>
              <w:pStyle w:val="Achievement"/>
              <w:ind w:start="800" w:end="-360"/>
              <w:rPr/>
            </w:pPr>
            <w:r>
              <w:rPr/>
              <w:t>Turbine control system</w:t>
            </w:r>
          </w:p>
          <w:p>
            <w:pPr>
              <w:pStyle w:val="Achievement"/>
              <w:ind w:start="800" w:end="-360"/>
              <w:rPr/>
            </w:pPr>
            <w:r>
              <w:rPr/>
              <w:t>Secondary loop temperature control system</w:t>
            </w:r>
          </w:p>
          <w:p>
            <w:pPr>
              <w:pStyle w:val="Achievement"/>
              <w:ind w:start="800" w:end="-360"/>
              <w:rPr/>
            </w:pPr>
            <w:r>
              <w:rPr/>
              <w:t>Training simulator</w:t>
            </w:r>
          </w:p>
          <w:p>
            <w:pPr>
              <w:pStyle w:val="Achievement"/>
              <w:numPr>
                <w:ilvl w:val="0"/>
                <w:numId w:val="3"/>
              </w:numPr>
              <w:rPr/>
            </w:pPr>
            <w:r>
              <w:rPr/>
              <w:t xml:space="preserve">Tokamak (JT60) </w:t>
            </w:r>
          </w:p>
          <w:p>
            <w:pPr>
              <w:pStyle w:val="Achievement"/>
              <w:ind w:start="800" w:end="-360"/>
              <w:rPr/>
            </w:pPr>
            <w:r>
              <w:rPr/>
              <w:t>Neutral beam injection system</w:t>
            </w:r>
          </w:p>
          <w:p>
            <w:pPr>
              <w:pStyle w:val="Achievement"/>
              <w:numPr>
                <w:ilvl w:val="0"/>
                <w:numId w:val="3"/>
              </w:numPr>
              <w:rPr/>
            </w:pPr>
            <w:r>
              <w:rPr/>
              <w:t>Fuel Manufacuring</w:t>
            </w:r>
          </w:p>
          <w:p>
            <w:pPr>
              <w:pStyle w:val="Achievement"/>
              <w:rPr/>
            </w:pPr>
            <w:r>
              <w:rPr/>
              <w:t>FBR fuel manufacturing system</w:t>
            </w:r>
          </w:p>
          <w:p>
            <w:pPr>
              <w:pStyle w:val="Achievement"/>
              <w:numPr>
                <w:ilvl w:val="0"/>
                <w:numId w:val="3"/>
              </w:numPr>
              <w:rPr/>
            </w:pPr>
            <w:r>
              <w:rPr/>
              <w:t>Uranium Enrichment</w:t>
            </w:r>
          </w:p>
          <w:p>
            <w:pPr>
              <w:pStyle w:val="Achievement"/>
              <w:rPr/>
            </w:pPr>
            <w:r>
              <w:rPr/>
              <w:t>Molecular Laser enrichment system</w:t>
            </w:r>
          </w:p>
          <w:p>
            <w:pPr>
              <w:pStyle w:val="Achievement"/>
              <w:numPr>
                <w:ilvl w:val="0"/>
                <w:numId w:val="3"/>
              </w:numPr>
              <w:rPr/>
            </w:pPr>
            <w:r>
              <w:rPr/>
              <w:t>Fuel Reprocessing</w:t>
            </w:r>
          </w:p>
          <w:p>
            <w:pPr>
              <w:pStyle w:val="Achievement"/>
              <w:rPr/>
            </w:pPr>
            <w:r>
              <w:rPr/>
              <w:t>Japan Nuclear Fuel Shimokita Plant</w:t>
            </w:r>
          </w:p>
          <w:p>
            <w:pPr>
              <w:pStyle w:val="Achievement"/>
              <w:numPr>
                <w:ilvl w:val="0"/>
                <w:numId w:val="3"/>
              </w:numPr>
              <w:rPr/>
            </w:pPr>
            <w:r>
              <w:rPr/>
              <w:t>Accelerators</w:t>
            </w:r>
          </w:p>
          <w:p>
            <w:pPr>
              <w:pStyle w:val="Achievement"/>
              <w:rPr/>
            </w:pPr>
            <w:r>
              <w:rPr/>
              <w:t>Heavy particle accelerator</w:t>
            </w:r>
          </w:p>
          <w:p>
            <w:pPr>
              <w:pStyle w:val="Achievement"/>
              <w:ind w:firstLine="600" w:start="0" w:end="-360"/>
              <w:rPr/>
            </w:pPr>
            <w:r>
              <w:rPr/>
              <w:t>Spring8</w:t>
            </w:r>
          </w:p>
          <w:p>
            <w:pPr>
              <w:pStyle w:val="Achievement"/>
              <w:ind w:firstLine="600" w:start="0" w:end="-360"/>
              <w:rPr/>
            </w:pPr>
            <w:r>
              <w:rPr/>
            </w:r>
          </w:p>
          <w:p>
            <w:pPr>
              <w:pStyle w:val="Achievement"/>
              <w:ind w:firstLine="600" w:start="0" w:end="-360"/>
              <w:rPr/>
            </w:pPr>
            <w:r>
              <w:rPr/>
              <w:t>Managed 100 engineers and an annual production budget of $12 million</w:t>
            </w:r>
          </w:p>
          <w:p>
            <w:pPr>
              <w:pStyle w:val="Achievement"/>
              <w:rPr/>
            </w:pPr>
            <w:r>
              <w:rPr/>
            </w:r>
          </w:p>
          <w:p>
            <w:pPr>
              <w:pStyle w:val="CompanyName"/>
              <w:rPr/>
            </w:pPr>
            <w:r>
              <w:rPr/>
              <w:t>1997 - 1999</w:t>
              <w:tab/>
              <w:t>Senshu University</w:t>
              <w:tab/>
              <w:t>Tokyo, Japan</w:t>
            </w:r>
          </w:p>
          <w:p>
            <w:pPr>
              <w:pStyle w:val="JobTitle"/>
              <w:rPr/>
            </w:pPr>
            <w:r>
              <w:rPr/>
              <w:t>Lecturer, Physics</w:t>
            </w:r>
          </w:p>
          <w:p>
            <w:pPr>
              <w:pStyle w:val="Achievement"/>
              <w:ind w:start="0" w:end="-360"/>
              <w:rPr/>
            </w:pPr>
            <w:r>
              <w:rPr/>
              <w:t xml:space="preserve">1978 – 1979            </w:t>
            </w:r>
            <w:r>
              <w:rPr/>
              <w:t xml:space="preserve">           </w:t>
            </w:r>
            <w:r>
              <w:rPr/>
              <w:t>Toyo University                                 Kawagoe, Japan</w:t>
            </w:r>
          </w:p>
          <w:p>
            <w:pPr>
              <w:pStyle w:val="JobTitle"/>
              <w:rPr/>
            </w:pPr>
            <w:r>
              <w:rPr/>
              <w:t>Lecturer, Physics</w:t>
            </w:r>
          </w:p>
          <w:p>
            <w:pPr>
              <w:pStyle w:val="Achievement"/>
              <w:ind w:start="0" w:end="-360"/>
              <w:rPr/>
            </w:pPr>
            <w:r>
              <w:rPr/>
              <w:t xml:space="preserve">1977– 1979              </w:t>
            </w:r>
            <w:r>
              <w:rPr/>
              <w:t xml:space="preserve">          </w:t>
            </w:r>
            <w:r>
              <w:rPr/>
              <w:t>Sagami Institute of Technology         Fujisawa, Japan</w:t>
            </w:r>
          </w:p>
          <w:p>
            <w:pPr>
              <w:pStyle w:val="JobTitle"/>
              <w:rPr/>
            </w:pPr>
            <w:r>
              <w:rPr/>
              <w:t>Lecturer, Physics</w:t>
            </w:r>
          </w:p>
          <w:p>
            <w:pPr>
              <w:pStyle w:val="Achievement"/>
              <w:spacing w:before="0" w:after="60"/>
              <w:rPr/>
            </w:pPr>
            <w:r>
              <w:rPr/>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Education</w:t>
            </w:r>
          </w:p>
        </w:tc>
        <w:tc>
          <w:tcPr>
            <w:tcW w:w="6667" w:type="dxa"/>
            <w:tcBorders/>
          </w:tcPr>
          <w:p>
            <w:pPr>
              <w:pStyle w:val="Institution"/>
              <w:spacing w:lineRule="atLeast" w:line="220" w:before="220" w:after="60"/>
              <w:ind w:hanging="0" w:start="0" w:end="-360"/>
              <w:rPr/>
            </w:pPr>
            <w:r>
              <w:rPr/>
              <w:t>1977</w:t>
              <w:tab/>
              <w:t>The University of Tokyo</w:t>
              <w:tab/>
              <w:t>Tokyo, Japan</w:t>
            </w:r>
          </w:p>
          <w:p>
            <w:pPr>
              <w:pStyle w:val="JobTitle"/>
              <w:rPr/>
            </w:pPr>
            <w:r>
              <w:rPr/>
              <w:t>Doctor of Science, Physics</w:t>
            </w:r>
          </w:p>
          <w:p>
            <w:pPr>
              <w:pStyle w:val="Institution"/>
              <w:rPr/>
            </w:pPr>
            <w:r>
              <w:rPr/>
              <w:t>1973</w:t>
              <w:tab/>
              <w:t>The University of Tokyo</w:t>
              <w:tab/>
              <w:t>Tokyo, Japan</w:t>
            </w:r>
          </w:p>
          <w:p>
            <w:pPr>
              <w:pStyle w:val="JobTitle"/>
              <w:rPr/>
            </w:pPr>
            <w:r>
              <w:rPr/>
              <w:t>Master of Science, Physics</w:t>
            </w:r>
          </w:p>
          <w:p>
            <w:pPr>
              <w:pStyle w:val="Institution"/>
              <w:rPr/>
            </w:pPr>
            <w:r>
              <w:rPr/>
              <w:t>1971</w:t>
              <w:tab/>
              <w:t>The University of Tokyo</w:t>
              <w:tab/>
              <w:t>Tokyo, Japan</w:t>
            </w:r>
          </w:p>
          <w:p>
            <w:pPr>
              <w:pStyle w:val="JobTitle"/>
              <w:rPr/>
            </w:pPr>
            <w:r>
              <w:rPr/>
              <w:t>Bachelor of Liberal Arts, Pure and Applied Science</w:t>
            </w:r>
          </w:p>
          <w:p>
            <w:pPr>
              <w:pStyle w:val="Achievement"/>
              <w:spacing w:before="0" w:after="60"/>
              <w:rPr/>
            </w:pPr>
            <w:r>
              <w:rPr/>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Certificates</w:t>
            </w:r>
          </w:p>
        </w:tc>
        <w:tc>
          <w:tcPr>
            <w:tcW w:w="6667" w:type="dxa"/>
            <w:tcBorders/>
          </w:tcPr>
          <w:p>
            <w:pPr>
              <w:pStyle w:val="Objective"/>
              <w:spacing w:lineRule="atLeast" w:line="220" w:before="220" w:after="220"/>
              <w:rPr/>
            </w:pPr>
            <w:r>
              <w:rPr/>
              <w:t>Certified Professional Engineer, Information Technology (Ministry of Science &amp; Technology)</w:t>
            </w:r>
          </w:p>
          <w:p>
            <w:pPr>
              <w:pStyle w:val="BodyText"/>
              <w:rPr/>
            </w:pPr>
            <w:r>
              <w:rPr/>
              <w:t>Certified Systems Auditor (Ministry of International Trade &amp; Industry)</w:t>
            </w:r>
          </w:p>
          <w:p>
            <w:pPr>
              <w:pStyle w:val="BodyText"/>
              <w:spacing w:lineRule="atLeast" w:line="220" w:before="0" w:after="220"/>
              <w:ind w:hanging="0" w:start="0" w:end="-360"/>
              <w:rPr/>
            </w:pPr>
            <w:r>
              <w:rPr/>
              <w:t>Certified Senior Information Processing Engineer (Ministry of International       Trade &amp; Industry)</w:t>
            </w:r>
          </w:p>
        </w:tc>
      </w:tr>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Language</w:t>
            </w:r>
          </w:p>
        </w:tc>
        <w:tc>
          <w:tcPr>
            <w:tcW w:w="6667" w:type="dxa"/>
            <w:tcBorders/>
          </w:tcPr>
          <w:p>
            <w:pPr>
              <w:pStyle w:val="Objective"/>
              <w:spacing w:lineRule="atLeast" w:line="220" w:before="220" w:after="220"/>
              <w:rPr/>
            </w:pPr>
            <w:r>
              <w:rPr/>
              <w:t>Bilingual in English and Japanese</w:t>
            </w:r>
          </w:p>
        </w:tc>
      </w:tr>
    </w:tbl>
    <w:p>
      <w:pPr>
        <w:pStyle w:val="Normal"/>
        <w:rPr/>
      </w:pPr>
      <w:r>
        <w:rPr/>
      </w:r>
    </w:p>
    <w:p>
      <w:pPr>
        <w:pStyle w:val="Normal"/>
        <w:rPr/>
      </w:pPr>
      <w:r>
        <w:rPr/>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pBdr>
                <w:top w:val="single" w:sz="6" w:space="2" w:color="FFFFFF"/>
                <w:left w:val="single" w:sz="6" w:space="2" w:color="FFFFFF"/>
                <w:bottom w:val="single" w:sz="6" w:space="2" w:color="FFFFFF"/>
                <w:right w:val="single" w:sz="6" w:space="2" w:color="FFFFFF"/>
              </w:pBdr>
              <w:shd w:fill="E5E5E5" w:val="clear"/>
              <w:spacing w:lineRule="atLeast" w:line="280" w:before="120" w:after="0"/>
              <w:rPr/>
            </w:pPr>
            <w:r>
              <w:rPr/>
              <w:t>Interests</w:t>
            </w:r>
          </w:p>
        </w:tc>
        <w:tc>
          <w:tcPr>
            <w:tcW w:w="6667" w:type="dxa"/>
            <w:tcBorders/>
          </w:tcPr>
          <w:p>
            <w:pPr>
              <w:pStyle w:val="Objective"/>
              <w:spacing w:lineRule="atLeast" w:line="220" w:before="220" w:after="220"/>
              <w:rPr/>
            </w:pPr>
            <w:r>
              <w:rPr/>
              <w:t>Classical Music (especially pipe-organs), books on physics &amp; mathematics, Gothic architecture, tennis</w:t>
            </w:r>
          </w:p>
        </w:tc>
      </w:tr>
    </w:tbl>
    <w:p>
      <w:pPr>
        <w:pStyle w:val="Normal"/>
        <w:rPr/>
      </w:pPr>
      <w:r>
        <w:rPr/>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2160" w:type="dxa"/>
            <w:tcBorders/>
          </w:tcPr>
          <w:p>
            <w:pPr>
              <w:pStyle w:val="SectionTitle"/>
              <w:spacing w:before="120" w:after="0"/>
              <w:rPr/>
            </w:pPr>
            <w:r>
              <w:rPr/>
              <w:t>Publications</w:t>
            </w:r>
          </w:p>
        </w:tc>
        <w:tc>
          <w:tcPr>
            <w:tcW w:w="6667" w:type="dxa"/>
            <w:tcBorders/>
          </w:tcPr>
          <w:p>
            <w:pPr>
              <w:pStyle w:val="Objective"/>
              <w:numPr>
                <w:ilvl w:val="0"/>
                <w:numId w:val="4"/>
              </w:numPr>
              <w:spacing w:before="220" w:after="220"/>
              <w:rPr/>
            </w:pPr>
            <w:r>
              <w:rPr/>
              <w:t>Molecular Dynamics Study of Shock Wave Front in Hard Sphere Fluids</w:t>
            </w:r>
          </w:p>
          <w:p>
            <w:pPr>
              <w:pStyle w:val="BodyText"/>
              <w:ind w:start="425" w:end="-360"/>
              <w:rPr/>
            </w:pPr>
            <w:r>
              <w:rPr/>
              <w:t>- Physics Letters, 1978</w:t>
            </w:r>
          </w:p>
          <w:p>
            <w:pPr>
              <w:pStyle w:val="BodyText"/>
              <w:numPr>
                <w:ilvl w:val="0"/>
                <w:numId w:val="4"/>
              </w:numPr>
              <w:rPr/>
            </w:pPr>
            <w:r>
              <w:rPr/>
              <w:t>Molecular Dynamics Study of Non-Equilibrium Fluids</w:t>
            </w:r>
          </w:p>
          <w:p>
            <w:pPr>
              <w:pStyle w:val="BodyText"/>
              <w:ind w:start="425" w:end="-360"/>
              <w:rPr/>
            </w:pPr>
            <w:r>
              <w:rPr/>
              <w:t xml:space="preserve">- Kagaku, 1979 </w:t>
            </w:r>
          </w:p>
          <w:p>
            <w:pPr>
              <w:pStyle w:val="BodyText"/>
              <w:numPr>
                <w:ilvl w:val="0"/>
                <w:numId w:val="4"/>
              </w:numPr>
              <w:rPr/>
            </w:pPr>
            <w:r>
              <w:rPr/>
              <w:t xml:space="preserve">BWR Reactor Management System </w:t>
            </w:r>
            <w:r>
              <w:rPr/>
              <w:t>–</w:t>
            </w:r>
            <w:r>
              <w:rPr/>
              <w:t xml:space="preserve"> Man-Machine Communication System-</w:t>
            </w:r>
          </w:p>
          <w:p>
            <w:pPr>
              <w:pStyle w:val="BodyText"/>
              <w:ind w:start="425" w:end="-360"/>
              <w:rPr/>
            </w:pPr>
            <w:r>
              <w:rPr/>
              <w:t>- Japanese Nuclear Society, 1980</w:t>
            </w:r>
          </w:p>
          <w:p>
            <w:pPr>
              <w:pStyle w:val="BodyText"/>
              <w:numPr>
                <w:ilvl w:val="0"/>
                <w:numId w:val="4"/>
              </w:numPr>
              <w:rPr/>
            </w:pPr>
            <w:r>
              <w:rPr/>
              <w:t>Development of Reactor Management System</w:t>
            </w:r>
          </w:p>
          <w:p>
            <w:pPr>
              <w:pStyle w:val="BodyText"/>
              <w:ind w:start="425" w:end="-360"/>
              <w:rPr/>
            </w:pPr>
            <w:r>
              <w:rPr/>
              <w:t>- American Nuclear Society, 1981</w:t>
            </w:r>
          </w:p>
          <w:p>
            <w:pPr>
              <w:pStyle w:val="BodyText"/>
              <w:numPr>
                <w:ilvl w:val="0"/>
                <w:numId w:val="4"/>
              </w:numPr>
              <w:rPr/>
            </w:pPr>
            <w:r>
              <w:rPr/>
              <w:t>BWR Plant Operation Status Monitoring System</w:t>
            </w:r>
          </w:p>
          <w:p>
            <w:pPr>
              <w:pStyle w:val="BodyText"/>
              <w:ind w:start="425" w:end="-360"/>
              <w:rPr/>
            </w:pPr>
            <w:r>
              <w:rPr/>
              <w:t xml:space="preserve">- Thermal &amp; Nuclear Power Generation Society, 1982 </w:t>
            </w:r>
          </w:p>
          <w:p>
            <w:pPr>
              <w:pStyle w:val="BodyText"/>
              <w:numPr>
                <w:ilvl w:val="0"/>
                <w:numId w:val="4"/>
              </w:numPr>
              <w:rPr/>
            </w:pPr>
            <w:r>
              <w:rPr/>
              <w:t>Development  of Reactor Safety Parameter Monitoring Technology</w:t>
            </w:r>
          </w:p>
          <w:p>
            <w:pPr>
              <w:pStyle w:val="BodyText"/>
              <w:ind w:start="425" w:end="-360"/>
              <w:rPr/>
            </w:pPr>
            <w:r>
              <w:rPr/>
              <w:t>- Japanese Nuclear Society, 1982</w:t>
            </w:r>
          </w:p>
          <w:p>
            <w:pPr>
              <w:pStyle w:val="BodyText"/>
              <w:numPr>
                <w:ilvl w:val="0"/>
                <w:numId w:val="4"/>
              </w:numPr>
              <w:rPr/>
            </w:pPr>
            <w:r>
              <w:rPr/>
              <w:t>Development of Computerized Radioactive Waste Disposal System in BWR Nuclear Power Plants</w:t>
            </w:r>
          </w:p>
          <w:p>
            <w:pPr>
              <w:pStyle w:val="BodyText"/>
              <w:ind w:start="425" w:end="-360"/>
              <w:rPr/>
            </w:pPr>
            <w:r>
              <w:rPr/>
              <w:t>- IEEE Nuclear Science Symposium, 1982</w:t>
            </w:r>
          </w:p>
          <w:p>
            <w:pPr>
              <w:pStyle w:val="BodyText"/>
              <w:numPr>
                <w:ilvl w:val="0"/>
                <w:numId w:val="4"/>
              </w:numPr>
              <w:rPr/>
            </w:pPr>
            <w:r>
              <w:rPr/>
              <w:t>Development of Toshiba Safety Parameter Display System</w:t>
            </w:r>
          </w:p>
          <w:p>
            <w:pPr>
              <w:pStyle w:val="BodyText"/>
              <w:ind w:start="425" w:end="-360"/>
              <w:rPr/>
            </w:pPr>
            <w:r>
              <w:rPr/>
              <w:t>- IEEE Nuclear Science Symposium, 1982</w:t>
            </w:r>
          </w:p>
          <w:p>
            <w:pPr>
              <w:pStyle w:val="BodyText"/>
              <w:numPr>
                <w:ilvl w:val="0"/>
                <w:numId w:val="4"/>
              </w:numPr>
              <w:rPr/>
            </w:pPr>
            <w:r>
              <w:rPr/>
              <w:t xml:space="preserve">Development of Advanced BWR Control System Operator Training </w:t>
            </w:r>
          </w:p>
          <w:p>
            <w:pPr>
              <w:pStyle w:val="BodyText"/>
              <w:ind w:start="425" w:end="-360"/>
              <w:rPr/>
            </w:pPr>
            <w:r>
              <w:rPr/>
              <w:t>Simulator</w:t>
            </w:r>
          </w:p>
          <w:p>
            <w:pPr>
              <w:pStyle w:val="BodyText"/>
              <w:ind w:start="425" w:end="-360"/>
              <w:rPr/>
            </w:pPr>
            <w:r>
              <w:rPr/>
              <w:t>- IEE International Symposium on Simulators, 1983</w:t>
            </w:r>
          </w:p>
          <w:p>
            <w:pPr>
              <w:pStyle w:val="BodyText"/>
              <w:numPr>
                <w:ilvl w:val="0"/>
                <w:numId w:val="4"/>
              </w:numPr>
              <w:rPr/>
            </w:pPr>
            <w:r>
              <w:rPr/>
              <w:t>Advanced Radioactive Waste Disposal Monitoring Computer System</w:t>
            </w:r>
          </w:p>
          <w:p>
            <w:pPr>
              <w:pStyle w:val="BodyText"/>
              <w:ind w:start="425" w:end="-360"/>
              <w:rPr/>
            </w:pPr>
            <w:r>
              <w:rPr/>
              <w:t>- Japanese Electrical Society, 1983</w:t>
            </w:r>
          </w:p>
          <w:p>
            <w:pPr>
              <w:pStyle w:val="BodyText"/>
              <w:numPr>
                <w:ilvl w:val="0"/>
                <w:numId w:val="4"/>
              </w:numPr>
              <w:rPr/>
            </w:pPr>
            <w:r>
              <w:rPr/>
              <w:t>Experiences of Operator Training Simulator for BWR</w:t>
            </w:r>
          </w:p>
          <w:p>
            <w:pPr>
              <w:pStyle w:val="BodyText"/>
              <w:ind w:start="425" w:end="-360"/>
              <w:rPr/>
            </w:pPr>
            <w:r>
              <w:rPr/>
              <w:t>- IAEA Specialist</w:t>
            </w:r>
            <w:r>
              <w:rPr/>
              <w:t>’</w:t>
            </w:r>
            <w:r>
              <w:rPr/>
              <w:t>s Meeting on Nuclear Power Plant Training Simulators,</w:t>
            </w:r>
          </w:p>
          <w:p>
            <w:pPr>
              <w:pStyle w:val="BodyText"/>
              <w:ind w:start="425" w:end="-360"/>
              <w:rPr/>
            </w:pPr>
            <w:r>
              <w:rPr/>
              <w:t>1983</w:t>
            </w:r>
          </w:p>
          <w:p>
            <w:pPr>
              <w:pStyle w:val="BodyText"/>
              <w:numPr>
                <w:ilvl w:val="0"/>
                <w:numId w:val="4"/>
              </w:numPr>
              <w:rPr/>
            </w:pPr>
            <w:r>
              <w:rPr/>
              <w:t>High Speed Reactor Core Performance Calculation</w:t>
            </w:r>
          </w:p>
          <w:p>
            <w:pPr>
              <w:pStyle w:val="BodyText"/>
              <w:ind w:start="425" w:end="-360"/>
              <w:rPr/>
            </w:pPr>
            <w:r>
              <w:rPr/>
              <w:t>- Japanese Nuclear Society, 1983</w:t>
            </w:r>
          </w:p>
          <w:p>
            <w:pPr>
              <w:pStyle w:val="BodyText"/>
              <w:numPr>
                <w:ilvl w:val="0"/>
                <w:numId w:val="4"/>
              </w:numPr>
              <w:rPr/>
            </w:pPr>
            <w:r>
              <w:rPr/>
              <w:t>Computerized Automatic Start-up Control for BWR Power Plants</w:t>
            </w:r>
          </w:p>
          <w:p>
            <w:pPr>
              <w:pStyle w:val="BodyText"/>
              <w:ind w:start="425" w:end="-360"/>
              <w:rPr/>
            </w:pPr>
            <w:r>
              <w:rPr/>
              <w:t>- IFAC World Congress, 1984</w:t>
            </w:r>
          </w:p>
          <w:p>
            <w:pPr>
              <w:pStyle w:val="BodyText"/>
              <w:numPr>
                <w:ilvl w:val="0"/>
                <w:numId w:val="4"/>
              </w:numPr>
              <w:rPr/>
            </w:pPr>
            <w:r>
              <w:rPr/>
              <w:t>Nuclear Power Plant Monitoring and Control Systems Software</w:t>
            </w:r>
          </w:p>
          <w:p>
            <w:pPr>
              <w:pStyle w:val="BodyText"/>
              <w:ind w:start="425" w:end="-360"/>
              <w:rPr/>
            </w:pPr>
            <w:r>
              <w:rPr/>
              <w:t xml:space="preserve">- Verification &amp; Validation </w:t>
            </w:r>
            <w:r>
              <w:rPr/>
              <w:t>–</w:t>
            </w:r>
          </w:p>
          <w:p>
            <w:pPr>
              <w:pStyle w:val="BodyText"/>
              <w:ind w:start="425" w:end="-360"/>
              <w:rPr/>
            </w:pPr>
            <w:r>
              <w:rPr/>
              <w:t>- IAEA Specialist</w:t>
            </w:r>
            <w:r>
              <w:rPr/>
              <w:t>’</w:t>
            </w:r>
            <w:r>
              <w:rPr/>
              <w:t>s Meeting, 1984</w:t>
            </w:r>
          </w:p>
          <w:p>
            <w:pPr>
              <w:pStyle w:val="BodyText"/>
              <w:numPr>
                <w:ilvl w:val="0"/>
                <w:numId w:val="4"/>
              </w:numPr>
              <w:rPr/>
            </w:pPr>
            <w:r>
              <w:rPr/>
              <w:t>Recent Achievement of Process Computer Enhancement for Toshiba Nuclear Power Plant</w:t>
            </w:r>
          </w:p>
          <w:p>
            <w:pPr>
              <w:pStyle w:val="BodyText"/>
              <w:ind w:start="425" w:end="-360"/>
              <w:rPr/>
            </w:pPr>
            <w:r>
              <w:rPr/>
              <w:t>- European Nuclear Meeting, 1986</w:t>
            </w:r>
          </w:p>
          <w:p>
            <w:pPr>
              <w:pStyle w:val="BodyText"/>
              <w:numPr>
                <w:ilvl w:val="0"/>
                <w:numId w:val="4"/>
              </w:numPr>
              <w:rPr/>
            </w:pPr>
            <w:r>
              <w:rPr/>
              <w:t xml:space="preserve">Development of FBR Compact Simulators </w:t>
            </w:r>
            <w:r>
              <w:rPr/>
              <w:t>–</w:t>
            </w:r>
            <w:r>
              <w:rPr/>
              <w:t xml:space="preserve"> System Configuration </w:t>
            </w:r>
            <w:r>
              <w:rPr/>
              <w:t>–</w:t>
            </w:r>
          </w:p>
          <w:p>
            <w:pPr>
              <w:pStyle w:val="BodyText"/>
              <w:ind w:start="425" w:end="-360"/>
              <w:rPr/>
            </w:pPr>
            <w:r>
              <w:rPr/>
              <w:t>- Japanese Nuclear Society, 1986</w:t>
            </w:r>
          </w:p>
          <w:p>
            <w:pPr>
              <w:pStyle w:val="BodyText"/>
              <w:numPr>
                <w:ilvl w:val="0"/>
                <w:numId w:val="4"/>
              </w:numPr>
              <w:rPr/>
            </w:pPr>
            <w:r>
              <w:rPr/>
              <w:t>Expert System for Nuclear Feedwater System</w:t>
            </w:r>
          </w:p>
          <w:p>
            <w:pPr>
              <w:pStyle w:val="BodyText"/>
              <w:ind w:start="425" w:end="-360"/>
              <w:rPr/>
            </w:pPr>
            <w:r>
              <w:rPr/>
              <w:t>- IFAC Power Systems Symposium, 1988</w:t>
            </w:r>
          </w:p>
          <w:p>
            <w:pPr>
              <w:pStyle w:val="BodyText"/>
              <w:numPr>
                <w:ilvl w:val="0"/>
                <w:numId w:val="4"/>
              </w:numPr>
              <w:rPr/>
            </w:pPr>
            <w:r>
              <w:rPr/>
              <w:t>Man-Machine Interface Hardware</w:t>
            </w:r>
          </w:p>
          <w:p>
            <w:pPr>
              <w:pStyle w:val="BodyText"/>
              <w:ind w:start="425" w:end="-360"/>
              <w:rPr/>
            </w:pPr>
            <w:r>
              <w:rPr/>
              <w:t>- Thermal &amp; Nuclear Power Generation Society, 1988</w:t>
            </w:r>
          </w:p>
          <w:p>
            <w:pPr>
              <w:pStyle w:val="BodyText"/>
              <w:numPr>
                <w:ilvl w:val="0"/>
                <w:numId w:val="4"/>
              </w:numPr>
              <w:rPr/>
            </w:pPr>
            <w:r>
              <w:rPr/>
              <w:t>Application of Engineering Work Station Network for Laboratory</w:t>
            </w:r>
          </w:p>
          <w:p>
            <w:pPr>
              <w:pStyle w:val="BodyText"/>
              <w:ind w:start="425" w:end="-360"/>
              <w:rPr/>
            </w:pPr>
            <w:r>
              <w:rPr/>
              <w:t>Automation</w:t>
            </w:r>
          </w:p>
          <w:p>
            <w:pPr>
              <w:pStyle w:val="BodyText"/>
              <w:ind w:start="425" w:end="-360"/>
              <w:rPr/>
            </w:pPr>
            <w:r>
              <w:rPr/>
              <w:t>- Second Asian Symposium on Research Reactor, 1989</w:t>
            </w:r>
          </w:p>
          <w:p>
            <w:pPr>
              <w:pStyle w:val="BodyText"/>
              <w:numPr>
                <w:ilvl w:val="0"/>
                <w:numId w:val="4"/>
              </w:numPr>
              <w:rPr/>
            </w:pPr>
            <w:r>
              <w:rPr/>
              <w:t>Control &amp; Instrumentation System for FBR Monju Power Station</w:t>
            </w:r>
          </w:p>
          <w:p>
            <w:pPr>
              <w:pStyle w:val="BodyText"/>
              <w:ind w:start="425" w:end="-360"/>
              <w:rPr/>
            </w:pPr>
            <w:r>
              <w:rPr/>
              <w:t>- Toshiba Review, 1990</w:t>
            </w:r>
          </w:p>
          <w:p>
            <w:pPr>
              <w:pStyle w:val="BodyText"/>
              <w:numPr>
                <w:ilvl w:val="0"/>
                <w:numId w:val="4"/>
              </w:numPr>
              <w:rPr/>
            </w:pPr>
            <w:r>
              <w:rPr/>
              <w:t xml:space="preserve">Application of AI </w:t>
            </w:r>
            <w:r>
              <w:rPr/>
              <w:t>Technology</w:t>
            </w:r>
            <w:r>
              <w:rPr/>
              <w:t xml:space="preserve"> to Power Generation (Book)</w:t>
            </w:r>
          </w:p>
          <w:p>
            <w:pPr>
              <w:pStyle w:val="BodyText"/>
              <w:spacing w:before="0" w:after="220"/>
              <w:ind w:start="425" w:end="-360"/>
              <w:rPr/>
            </w:pPr>
            <w:r>
              <w:rPr/>
              <w:t>- Ohm Publication, 1992</w:t>
            </w:r>
          </w:p>
        </w:tc>
      </w:tr>
    </w:tbl>
    <w:p>
      <w:pPr>
        <w:pStyle w:val="Normal"/>
        <w:rPr/>
      </w:pPr>
      <w:r>
        <w:rPr/>
      </w:r>
    </w:p>
    <w:sectPr>
      <w:type w:val="nextPage"/>
      <w:pgSz w:w="12240" w:h="15840"/>
      <w:pgMar w:left="1800" w:right="1800" w:gutter="0" w:header="0" w:top="19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20"/>
        </w:tabs>
        <w:ind w:start="1020" w:hanging="420"/>
      </w:pPr>
      <w:rPr>
        <w:rFonts w:ascii="Wingdings" w:hAnsi="Wingdings" w:cs="Wingdings" w:hint="default"/>
      </w:rPr>
    </w:lvl>
  </w:abstractNum>
  <w:abstractNum w:abstractNumId="3">
    <w:lvl w:ilvl="0">
      <w:start w:val="1"/>
      <w:numFmt w:val="bullet"/>
      <w:lvlText w:val=""/>
      <w:lvlJc w:val="start"/>
      <w:pPr>
        <w:tabs>
          <w:tab w:val="num" w:pos="1020"/>
        </w:tabs>
        <w:ind w:start="1020" w:hanging="420"/>
      </w:pPr>
      <w:rPr>
        <w:rFonts w:ascii="Wingdings" w:hAnsi="Wingdings" w:cs="Wingdings" w:hint="default"/>
      </w:rPr>
    </w:lvl>
  </w:abstractNum>
  <w:abstractNum w:abstractNumId="4">
    <w:lvl w:ilvl="0">
      <w:start w:val="1"/>
      <w:numFmt w:val="decimal"/>
      <w:lvlText w:val="%1"/>
      <w:lvlJc w:val="start"/>
      <w:pPr>
        <w:tabs>
          <w:tab w:val="num" w:pos="425"/>
        </w:tabs>
        <w:ind w:start="425" w:hanging="425"/>
      </w:pPr>
    </w:lvl>
    <w:lvl w:ilvl="1">
      <w:start w:val="1"/>
      <w:numFmt w:val="decimal"/>
      <w:lvlText w:val="%1.%2"/>
      <w:lvlJc w:val="start"/>
      <w:pPr>
        <w:tabs>
          <w:tab w:val="num" w:pos="992"/>
        </w:tabs>
        <w:ind w:start="992" w:hanging="567"/>
      </w:pPr>
    </w:lvl>
    <w:lvl w:ilvl="2">
      <w:start w:val="1"/>
      <w:numFmt w:val="decimal"/>
      <w:lvlText w:val="%1.%2.%3"/>
      <w:lvlJc w:val="start"/>
      <w:pPr>
        <w:tabs>
          <w:tab w:val="num" w:pos="1418"/>
        </w:tabs>
        <w:ind w:start="1418" w:hanging="567"/>
      </w:pPr>
    </w:lvl>
    <w:lvl w:ilvl="3">
      <w:start w:val="1"/>
      <w:numFmt w:val="decimal"/>
      <w:lvlText w:val="%1.%2.%3.%4"/>
      <w:lvlJc w:val="start"/>
      <w:pPr>
        <w:tabs>
          <w:tab w:val="num" w:pos="1984"/>
        </w:tabs>
        <w:ind w:start="1984" w:hanging="708"/>
      </w:pPr>
    </w:lvl>
    <w:lvl w:ilvl="4">
      <w:start w:val="1"/>
      <w:numFmt w:val="decimal"/>
      <w:lvlText w:val="%1.%2.%3.%4.%5"/>
      <w:lvlJc w:val="start"/>
      <w:pPr>
        <w:tabs>
          <w:tab w:val="num" w:pos="2551"/>
        </w:tabs>
        <w:ind w:start="2551" w:hanging="850"/>
      </w:pPr>
    </w:lvl>
    <w:lvl w:ilvl="5">
      <w:start w:val="1"/>
      <w:numFmt w:val="decimal"/>
      <w:lvlText w:val="%1.%2.%3.%4.%5.%6"/>
      <w:lvlJc w:val="start"/>
      <w:pPr>
        <w:tabs>
          <w:tab w:val="num" w:pos="3260"/>
        </w:tabs>
        <w:ind w:start="3260" w:hanging="1134"/>
      </w:pPr>
    </w:lvl>
    <w:lvl w:ilvl="6">
      <w:start w:val="1"/>
      <w:numFmt w:val="decimal"/>
      <w:lvlText w:val="%1.%2.%3.%4.%5.%6.%7"/>
      <w:lvlJc w:val="start"/>
      <w:pPr>
        <w:tabs>
          <w:tab w:val="num" w:pos="3827"/>
        </w:tabs>
        <w:ind w:start="3827" w:hanging="1276"/>
      </w:pPr>
    </w:lvl>
    <w:lvl w:ilvl="7">
      <w:start w:val="1"/>
      <w:numFmt w:val="decimal"/>
      <w:lvlText w:val="%1.%2.%3.%4.%5.%6.%7.%8"/>
      <w:lvlJc w:val="start"/>
      <w:pPr>
        <w:tabs>
          <w:tab w:val="num" w:pos="4394"/>
        </w:tabs>
        <w:ind w:start="4394" w:hanging="1418"/>
      </w:pPr>
    </w:lvl>
    <w:lvl w:ilvl="8">
      <w:start w:val="1"/>
      <w:numFmt w:val="decimal"/>
      <w:lvlText w:val="%1.%2.%3.%4.%5.%6.%7.%8.%9"/>
      <w:lvlJc w:val="start"/>
      <w:pPr>
        <w:tabs>
          <w:tab w:val="num" w:pos="5102"/>
        </w:tabs>
        <w:ind w:start="5102" w:hanging="170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US" w:eastAsia="ja-JP" w:bidi="ar-SA"/>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ind w:hanging="0" w:start="0" w:end="-360"/>
      <w:outlineLvl w:val="5"/>
    </w:pPr>
    <w:rPr>
      <w:rFonts w:ascii="Arial" w:hAnsi="Arial" w:cs="Arial"/>
      <w:i/>
      <w:sz w:val="22"/>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rFonts w:ascii="Symbol" w:hAnsi="Symbol" w:cs="Symbol"/>
      <w:sz w:val="22"/>
    </w:rPr>
  </w:style>
  <w:style w:type="character" w:styleId="WW8Num9z0">
    <w:name w:val="WW8Num9z0"/>
    <w:qFormat/>
    <w:rPr/>
  </w:style>
  <w:style w:type="character" w:styleId="WW8Num9z1">
    <w:name w:val="WW8Num9z1"/>
    <w:qFormat/>
    <w:rPr>
      <w:rFonts w:ascii="Times New Roman" w:hAnsi="Times New Roman" w:eastAsia="ＭＳ 明朝;MS Mincho" w:cs="Times New Roman"/>
    </w:rPr>
  </w:style>
  <w:style w:type="character" w:styleId="WW8Num10z0">
    <w:name w:val="WW8Num10z0"/>
    <w:qFormat/>
    <w:rPr/>
  </w:style>
  <w:style w:type="character" w:styleId="WW8Num12z0">
    <w:name w:val="WW8Num12z0"/>
    <w:qFormat/>
    <w:rPr/>
  </w:style>
  <w:style w:type="character" w:styleId="WW8Num13z0">
    <w:name w:val="WW8Num13z0"/>
    <w:qFormat/>
    <w:rPr>
      <w:rFonts w:ascii="Symbol" w:hAnsi="Symbol" w:cs="Symbol"/>
    </w:rPr>
  </w:style>
  <w:style w:type="character" w:styleId="Style8">
    <w:name w:val="段落フォント"/>
    <w:qFormat/>
    <w:rPr/>
  </w:style>
  <w:style w:type="character" w:styleId="Emphasis">
    <w:name w:val="Emphasis"/>
    <w:qFormat/>
    <w:rPr>
      <w:rFonts w:ascii="Arial" w:hAnsi="Arial" w:cs="Arial"/>
      <w:b/>
      <w:spacing w:val="-8"/>
      <w:sz w:val="18"/>
    </w:rPr>
  </w:style>
  <w:style w:type="character" w:styleId="Job">
    <w:name w:val="Job"/>
    <w:basedOn w:val="Style8"/>
    <w:qFormat/>
    <w:rPr/>
  </w:style>
  <w:style w:type="character" w:styleId="Lead-inEmphasis">
    <w:name w:val="Lead-in Emphasis"/>
    <w:qFormat/>
    <w:rPr>
      <w:rFonts w:ascii="Arial" w:hAnsi="Arial" w:cs="Arial"/>
      <w:b/>
      <w:spacing w:val="-8"/>
      <w:sz w:val="18"/>
    </w:rPr>
  </w:style>
  <w:style w:type="character" w:styleId="PageNumber">
    <w:name w:val="page number"/>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Achievement">
    <w:name w:val="Achievement"/>
    <w:basedOn w:val="BodyText"/>
    <w:qFormat/>
    <w:pPr>
      <w:spacing w:before="0" w:after="60"/>
      <w:ind w:hanging="0" w:start="600" w:end="-360"/>
    </w:pPr>
    <w:rPr/>
  </w:style>
  <w:style w:type="paragraph" w:styleId="Address1">
    <w:name w:val="Address 1"/>
    <w:basedOn w:val="Normal"/>
    <w:qFormat/>
    <w:pPr>
      <w:spacing w:lineRule="atLeast" w:line="200"/>
    </w:pPr>
    <w:rPr>
      <w:sz w:val="16"/>
    </w:rPr>
  </w:style>
  <w:style w:type="paragraph" w:styleId="Address2">
    <w:name w:val="Address 2"/>
    <w:basedOn w:val="Normal"/>
    <w:qFormat/>
    <w:pPr>
      <w:spacing w:lineRule="atLeast" w:line="200"/>
    </w:pPr>
    <w:rPr>
      <w:sz w:val="16"/>
    </w:rPr>
  </w:style>
  <w:style w:type="paragraph" w:styleId="BodyTextIndent">
    <w:name w:val="Body Text Indent"/>
    <w:basedOn w:val="BodyText"/>
    <w:pPr>
      <w:ind w:hanging="0" w:start="720" w:end="-36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20" w:after="40"/>
      <w:ind w:hanging="0" w:start="0" w:end="-360"/>
    </w:pPr>
    <w:rPr/>
  </w:style>
  <w:style w:type="paragraph" w:styleId="CompanyNameOne">
    <w:name w:val="Company Name One"/>
    <w:basedOn w:val="CompanyName"/>
    <w:next w:val="Normal"/>
    <w:qFormat/>
    <w:pPr/>
    <w:rPr/>
  </w:style>
  <w:style w:type="paragraph" w:styleId="Style9">
    <w:name w:val="日付"/>
    <w:basedOn w:val="BodyText"/>
    <w:qFormat/>
    <w:pPr>
      <w:keepNext w:val="true"/>
    </w:pPr>
    <w:rPr/>
  </w:style>
  <w:style w:type="paragraph" w:styleId="DocumentLabel">
    <w:name w:val="Document Label"/>
    <w:basedOn w:val="Normal"/>
    <w:next w:val="Normal"/>
    <w:qFormat/>
    <w:pPr>
      <w:spacing w:before="0" w:after="220"/>
      <w:ind w:hanging="0" w:start="0" w:end="-360"/>
    </w:pPr>
    <w:rPr>
      <w:spacing w:val="-20"/>
      <w:sz w:val="48"/>
    </w:rPr>
  </w:style>
  <w:style w:type="paragraph" w:styleId="HeaderBase">
    <w:name w:val="Header Base"/>
    <w:basedOn w:val="Normal"/>
    <w:qFormat/>
    <w:pPr>
      <w:ind w:hanging="0" w:start="0" w:end="-3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pPr>
    <w:rPr>
      <w:rFonts w:ascii="Arial" w:hAnsi="Arial" w:cs="Arial"/>
      <w:b/>
      <w:sz w:val="18"/>
    </w:rPr>
  </w:style>
  <w:style w:type="paragraph" w:styleId="Header">
    <w:name w:val="header"/>
    <w:basedOn w:val="HeaderBase"/>
    <w:pPr>
      <w:spacing w:lineRule="atLeast" w:line="22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ind w:hanging="0" w:start="0" w:end="-360"/>
    </w:pPr>
    <w:rPr/>
  </w:style>
  <w:style w:type="paragraph" w:styleId="JobTitle">
    <w:name w:val="Job Title"/>
    <w:next w:val="Achievement"/>
    <w:qFormat/>
    <w:pPr>
      <w:widowControl/>
      <w:bidi w:val="0"/>
      <w:spacing w:lineRule="atLeast" w:line="220" w:before="0" w:after="40"/>
    </w:pPr>
    <w:rPr>
      <w:rFonts w:ascii="Arial" w:hAnsi="Arial" w:eastAsia="ＭＳ 明朝;MS Mincho" w:cs="Arial"/>
      <w:b/>
      <w:color w:val="auto"/>
      <w:spacing w:val="-10"/>
      <w:sz w:val="20"/>
      <w:szCs w:val="20"/>
      <w:lang w:val="en-US" w:eastAsia="ja-JP" w:bidi="ar-SA"/>
    </w:rPr>
  </w:style>
  <w:style w:type="paragraph" w:styleId="Name">
    <w:name w:val="Name"/>
    <w:basedOn w:val="Normal"/>
    <w:next w:val="Normal"/>
    <w:qFormat/>
    <w:pPr>
      <w:spacing w:lineRule="atLeast" w:line="240" w:before="0" w:after="440"/>
      <w:ind w:hanging="0" w:start="2160" w:end="0"/>
    </w:pPr>
    <w:rPr>
      <w:spacing w:val="-20"/>
      <w:sz w:val="48"/>
    </w:rPr>
  </w:style>
  <w:style w:type="paragraph" w:styleId="NoTitle">
    <w:name w:val="No Title"/>
    <w:basedOn w:val="Normal"/>
    <w:qFormat/>
    <w:pPr>
      <w:pBdr>
        <w:top w:val="single" w:sz="6" w:space="2" w:color="FFFFFF"/>
        <w:left w:val="single" w:sz="6" w:space="2" w:color="FFFFFF"/>
        <w:bottom w:val="single" w:sz="6" w:space="2" w:color="FFFFFF"/>
        <w:right w:val="single" w:sz="6" w:space="2" w:color="FFFFFF"/>
      </w:pBdr>
      <w:spacing w:lineRule="atLeast" w:line="280" w:before="120" w:after="0"/>
    </w:pPr>
    <w:rPr>
      <w:rFonts w:ascii="Arial" w:hAnsi="Arial" w:cs="Arial"/>
      <w:b/>
      <w:spacing w:val="-10"/>
      <w:vertAlign w:val="superscript"/>
    </w:rPr>
  </w:style>
  <w:style w:type="paragraph" w:styleId="Objective">
    <w:name w:val="Objective"/>
    <w:basedOn w:val="Normal"/>
    <w:next w:val="BodyText"/>
    <w:qFormat/>
    <w:pPr>
      <w:spacing w:lineRule="atLeast" w:line="220" w:before="220" w:after="220"/>
    </w:pPr>
    <w:rPr/>
  </w:style>
  <w:style w:type="paragraph" w:styleId="SectionTitle">
    <w:name w:val="Section Title"/>
    <w:basedOn w:val="Normal"/>
    <w:next w:val="Normal"/>
    <w:qFormat/>
    <w:pPr>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cs="Arial"/>
      <w:b/>
      <w:spacing w:val="-10"/>
      <w:vertAlign w:val="superscript"/>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PersonalInfo">
    <w:name w:val="Personal Info"/>
    <w:basedOn w:val="Achievement"/>
    <w:qFormat/>
    <w:pPr>
      <w:spacing w:before="220" w:after="6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Resume</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2001-07-19T23:25:00Z</dcterms:created>
  <dc:creator>Kiyoshi Niki</dc:creator>
  <dc:description/>
  <dc:language>en-CA</dc:language>
  <cp:lastModifiedBy>kniki</cp:lastModifiedBy>
  <dcterms:modified xsi:type="dcterms:W3CDTF">2001-07-20T02:39:00Z</dcterms:modified>
  <cp:revision>7</cp:revision>
  <dc:subject/>
  <dc:title>Resume</dc:title>
</cp:coreProperties>
</file>