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exact" w:line="240"/>
        <w:outlineLvl w:val="0"/>
        <w:rPr>
          <w:sz w:val="21"/>
        </w:rPr>
      </w:pPr>
      <w:r>
        <w:rPr>
          <w:sz w:val="21"/>
        </w:rPr>
        <w:t>Nihon Keizai Shimbun</w:t>
      </w:r>
    </w:p>
    <w:p>
      <w:pPr>
        <w:pStyle w:val="Normal"/>
        <w:spacing w:lineRule="exact" w:line="240"/>
        <w:rPr/>
      </w:pPr>
      <w:r>
        <w:rPr>
          <w:sz w:val="21"/>
        </w:rPr>
        <w:t xml:space="preserve">November </w:t>
      </w:r>
      <w:r>
        <w:rPr>
          <w:sz w:val="21"/>
        </w:rPr>
        <w:t>23,</w:t>
      </w:r>
      <w:r>
        <w:rPr>
          <w:sz w:val="21"/>
        </w:rPr>
        <w:t xml:space="preserve"> 2001</w:t>
      </w:r>
      <w:r>
        <w:rPr>
          <w:sz w:val="21"/>
        </w:rPr>
        <w:t xml:space="preserve"> (morning)</w:t>
      </w:r>
    </w:p>
    <w:p>
      <w:pPr>
        <w:pStyle w:val="Normal"/>
        <w:spacing w:lineRule="exact" w:line="240"/>
        <w:rPr>
          <w:sz w:val="21"/>
        </w:rPr>
      </w:pPr>
      <w:r>
        <w:rPr>
          <w:sz w:val="21"/>
        </w:rPr>
        <w:t>Circulation: 3,044,000</w:t>
      </w:r>
    </w:p>
    <w:p>
      <w:pPr>
        <w:pStyle w:val="Normal"/>
        <w:spacing w:lineRule="exact" w:line="240"/>
        <w:rPr>
          <w:sz w:val="21"/>
        </w:rPr>
      </w:pPr>
      <w:r>
        <w:rPr>
          <w:sz w:val="21"/>
        </w:rPr>
        <w:t>Page 7</w:t>
      </w:r>
    </w:p>
    <w:p>
      <w:pPr>
        <w:pStyle w:val="Style10"/>
        <w:jc w:val="start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Normal"/>
        <w:jc w:val="center"/>
        <w:rPr/>
      </w:pPr>
      <w:r>
        <w:rPr>
          <w:b/>
          <w:sz w:val="24"/>
        </w:rPr>
        <w:t>Enron</w:t>
      </w:r>
      <w:r>
        <w:rPr>
          <w:b/>
          <w:sz w:val="24"/>
        </w:rPr>
        <w:t>’</w:t>
      </w:r>
      <w:r>
        <w:rPr>
          <w:b/>
          <w:sz w:val="24"/>
        </w:rPr>
        <w:t xml:space="preserve">s credit rating is downgraded and its share prices fall, </w:t>
      </w:r>
      <w:r>
        <w:rPr>
          <w:b/>
          <w:sz w:val="24"/>
        </w:rPr>
        <w:t>clouding</w:t>
      </w:r>
      <w:r>
        <w:rPr>
          <w:b/>
          <w:sz w:val="24"/>
        </w:rPr>
        <w:t xml:space="preserve"> </w:t>
      </w:r>
    </w:p>
    <w:p>
      <w:pPr>
        <w:pStyle w:val="Normal"/>
        <w:jc w:val="center"/>
        <w:rPr/>
      </w:pPr>
      <w:r>
        <w:rPr>
          <w:b/>
          <w:sz w:val="24"/>
        </w:rPr>
        <w:t>Dynegy</w:t>
      </w:r>
      <w:r>
        <w:rPr>
          <w:b/>
          <w:sz w:val="24"/>
        </w:rPr>
        <w:t>’</w:t>
      </w:r>
      <w:r>
        <w:rPr>
          <w:b/>
          <w:sz w:val="24"/>
        </w:rPr>
        <w:t>s plan to acquire the company</w:t>
      </w:r>
    </w:p>
    <w:p>
      <w:pPr>
        <w:pStyle w:val="BodyText"/>
        <w:numPr>
          <w:ilvl w:val="0"/>
          <w:numId w:val="0"/>
        </w:numPr>
        <w:spacing w:lineRule="exact" w:line="360"/>
        <w:outlineLvl w:val="0"/>
        <w:rPr/>
      </w:pPr>
      <w:r>
        <w:rPr/>
        <w:t xml:space="preserve">Market observers speculate on </w:t>
      </w:r>
      <w:r>
        <w:rPr/>
        <w:t>the</w:t>
      </w:r>
      <w:r>
        <w:rPr/>
        <w:t xml:space="preserve"> collapse of </w:t>
      </w:r>
      <w:r>
        <w:rPr/>
        <w:t>the</w:t>
      </w:r>
      <w:r>
        <w:rPr/>
        <w:t xml:space="preserve"> takeover deal amid mounting concerns over Enron</w:t>
      </w:r>
      <w:r>
        <w:rPr/>
        <w:t>’</w:t>
      </w:r>
      <w:r>
        <w:rPr/>
        <w:t>s financial condition</w:t>
      </w:r>
    </w:p>
    <w:p>
      <w:pPr>
        <w:pStyle w:val="Normal"/>
        <w:spacing w:lineRule="exact" w:line="36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360"/>
        <w:jc w:val="both"/>
        <w:rPr/>
      </w:pPr>
      <w:r>
        <w:rPr>
          <w:sz w:val="22"/>
        </w:rPr>
        <w:t xml:space="preserve">The plan of Dynegy Inc., a major energy company based in the United States, to acquire its rival Enron Corp. has been clouded by numerous factors.  The companies reached an agreement on the deal on </w:t>
      </w:r>
      <w:r>
        <w:rPr>
          <w:sz w:val="22"/>
        </w:rPr>
        <w:t>November</w:t>
      </w:r>
      <w:r>
        <w:rPr>
          <w:sz w:val="22"/>
        </w:rPr>
        <w:t xml:space="preserve"> 9, but Enron</w:t>
      </w:r>
      <w:r>
        <w:rPr>
          <w:sz w:val="22"/>
        </w:rPr>
        <w:t>’</w:t>
      </w:r>
      <w:r>
        <w:rPr>
          <w:sz w:val="22"/>
        </w:rPr>
        <w:t xml:space="preserve">s credit rating has been downgraded and its share prices keep falling.  Concerns over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company’</w:t>
      </w:r>
      <w:r>
        <w:rPr>
          <w:sz w:val="22"/>
        </w:rPr>
        <w:t xml:space="preserve">s fund management have not been eliminated.  It has been made public that Enron will suffer a new loss.  Some market observers now predict </w:t>
      </w:r>
      <w:r>
        <w:rPr>
          <w:sz w:val="22"/>
        </w:rPr>
        <w:t>that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two companies will be forced to break off </w:t>
      </w:r>
      <w:r>
        <w:rPr>
          <w:sz w:val="22"/>
        </w:rPr>
        <w:t>the</w:t>
      </w:r>
      <w:r>
        <w:rPr>
          <w:sz w:val="22"/>
        </w:rPr>
        <w:t xml:space="preserve"> acquisition plan.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/>
      </w:pPr>
      <w:r>
        <w:rPr>
          <w:sz w:val="22"/>
        </w:rPr>
        <w:t xml:space="preserve">In a document submitted to </w:t>
      </w:r>
      <w:r>
        <w:rPr>
          <w:sz w:val="22"/>
        </w:rPr>
        <w:t>the</w:t>
      </w:r>
      <w:r>
        <w:rPr>
          <w:sz w:val="22"/>
        </w:rPr>
        <w:t xml:space="preserve"> Securities and Exchange Commission (SEC) on </w:t>
      </w:r>
      <w:r>
        <w:rPr>
          <w:sz w:val="22"/>
        </w:rPr>
        <w:t>November</w:t>
      </w:r>
      <w:r>
        <w:rPr>
          <w:sz w:val="22"/>
        </w:rPr>
        <w:t xml:space="preserve"> 19, Enron disclosed that a $690 million note was due on </w:t>
      </w:r>
      <w:r>
        <w:rPr>
          <w:sz w:val="22"/>
        </w:rPr>
        <w:t>November</w:t>
      </w:r>
      <w:r>
        <w:rPr>
          <w:sz w:val="22"/>
        </w:rPr>
        <w:t xml:space="preserve"> 27.  </w:t>
      </w:r>
      <w:r>
        <w:rPr>
          <w:sz w:val="22"/>
        </w:rPr>
        <w:t>The</w:t>
      </w:r>
      <w:r>
        <w:rPr>
          <w:sz w:val="22"/>
        </w:rPr>
        <w:t xml:space="preserve"> repayment date had been brought </w:t>
      </w:r>
      <w:r>
        <w:rPr>
          <w:sz w:val="22"/>
        </w:rPr>
        <w:t>forward in</w:t>
      </w:r>
      <w:r>
        <w:rPr>
          <w:sz w:val="22"/>
        </w:rPr>
        <w:t xml:space="preserve"> line with the terms of the contract with </w:t>
      </w:r>
      <w:r>
        <w:rPr>
          <w:sz w:val="22"/>
        </w:rPr>
        <w:t>the</w:t>
      </w:r>
      <w:r>
        <w:rPr>
          <w:sz w:val="22"/>
        </w:rPr>
        <w:t xml:space="preserve"> investment union after a major U.S. credit rating agency downgraded the </w:t>
      </w:r>
      <w:r>
        <w:rPr>
          <w:sz w:val="22"/>
        </w:rPr>
        <w:t>company’</w:t>
      </w:r>
      <w:r>
        <w:rPr>
          <w:sz w:val="22"/>
        </w:rPr>
        <w:t xml:space="preserve">s </w:t>
      </w:r>
      <w:r>
        <w:rPr>
          <w:sz w:val="22"/>
        </w:rPr>
        <w:t xml:space="preserve">senior unsecured debt </w:t>
      </w:r>
      <w:r>
        <w:rPr>
          <w:sz w:val="22"/>
        </w:rPr>
        <w:t xml:space="preserve">by a notch to </w:t>
      </w:r>
      <w:r>
        <w:rPr>
          <w:sz w:val="22"/>
        </w:rPr>
        <w:t>“</w:t>
      </w:r>
      <w:r>
        <w:rPr>
          <w:sz w:val="22"/>
        </w:rPr>
        <w:t>BBB-</w:t>
      </w:r>
      <w:r>
        <w:rPr>
          <w:sz w:val="22"/>
        </w:rPr>
        <w:t>”</w:t>
      </w:r>
      <w:r>
        <w:rPr>
          <w:sz w:val="22"/>
        </w:rPr>
        <w:t xml:space="preserve"> earlier in </w:t>
      </w:r>
      <w:r>
        <w:rPr>
          <w:sz w:val="22"/>
        </w:rPr>
        <w:t>the</w:t>
      </w:r>
      <w:r>
        <w:rPr>
          <w:sz w:val="22"/>
        </w:rPr>
        <w:t xml:space="preserve"> week.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/>
      </w:pPr>
      <w:r>
        <w:rPr>
          <w:sz w:val="22"/>
        </w:rPr>
        <w:t xml:space="preserve">According to the document, long- and short-term debts of more </w:t>
      </w:r>
      <w:r>
        <w:rPr>
          <w:sz w:val="22"/>
        </w:rPr>
        <w:t>than</w:t>
      </w:r>
      <w:r>
        <w:rPr>
          <w:sz w:val="22"/>
        </w:rPr>
        <w:t xml:space="preserve"> $9.1 billion are due the end of next year or earlier.  However,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company</w:t>
      </w:r>
      <w:r>
        <w:rPr>
          <w:sz w:val="22"/>
        </w:rPr>
        <w:t xml:space="preserve"> had less than </w:t>
      </w:r>
      <w:r>
        <w:rPr>
          <w:sz w:val="22"/>
        </w:rPr>
        <w:t>$2 billion at hand as of the end of September</w:t>
      </w:r>
      <w:r>
        <w:rPr>
          <w:sz w:val="22"/>
        </w:rPr>
        <w:t>.  If Enron</w:t>
      </w:r>
      <w:r>
        <w:rPr>
          <w:sz w:val="22"/>
        </w:rPr>
        <w:t>’</w:t>
      </w:r>
      <w:r>
        <w:rPr>
          <w:sz w:val="22"/>
        </w:rPr>
        <w:t xml:space="preserve">s senior unsecured debt is downgraded by one more notch to </w:t>
      </w:r>
      <w:r>
        <w:rPr>
          <w:sz w:val="22"/>
        </w:rPr>
        <w:t xml:space="preserve">the </w:t>
      </w:r>
      <w:r>
        <w:rPr>
          <w:sz w:val="22"/>
        </w:rPr>
        <w:t xml:space="preserve">junk status, the company will reportedly face another 3.9 </w:t>
      </w:r>
      <w:r>
        <w:rPr>
          <w:sz w:val="22"/>
        </w:rPr>
        <w:t>billion</w:t>
      </w:r>
      <w:r>
        <w:rPr>
          <w:sz w:val="22"/>
        </w:rPr>
        <w:t>-dollar loan payment.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/>
      </w:pPr>
      <w:r>
        <w:rPr>
          <w:sz w:val="22"/>
        </w:rPr>
        <w:t xml:space="preserve">It also has been revealed </w:t>
      </w:r>
      <w:r>
        <w:rPr>
          <w:sz w:val="22"/>
        </w:rPr>
        <w:t>that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falling Enron share prices will generate a new loss in relation to </w:t>
      </w:r>
      <w:r>
        <w:rPr>
          <w:sz w:val="22"/>
        </w:rPr>
        <w:t>the</w:t>
      </w:r>
      <w:r>
        <w:rPr>
          <w:sz w:val="22"/>
        </w:rPr>
        <w:t xml:space="preserve"> company</w:t>
      </w:r>
      <w:r>
        <w:rPr>
          <w:sz w:val="22"/>
        </w:rPr>
        <w:t>’</w:t>
      </w:r>
      <w:r>
        <w:rPr>
          <w:sz w:val="22"/>
        </w:rPr>
        <w:t>s off-</w:t>
      </w:r>
      <w:r>
        <w:rPr>
          <w:sz w:val="22"/>
        </w:rPr>
        <w:t>balance</w:t>
      </w:r>
      <w:r>
        <w:rPr>
          <w:sz w:val="22"/>
        </w:rPr>
        <w:t xml:space="preserve"> sheet transactions.   Enron is involved in financial trading in which it uses its </w:t>
      </w:r>
      <w:r>
        <w:rPr>
          <w:sz w:val="22"/>
        </w:rPr>
        <w:t>assets</w:t>
      </w:r>
      <w:r>
        <w:rPr>
          <w:sz w:val="22"/>
        </w:rPr>
        <w:t xml:space="preserve"> and shares as collateral to raise investment funds.  In its transactions with the investment fund </w:t>
      </w:r>
      <w:r>
        <w:rPr>
          <w:sz w:val="22"/>
        </w:rPr>
        <w:t>“</w:t>
      </w:r>
      <w:r>
        <w:rPr>
          <w:sz w:val="22"/>
        </w:rPr>
        <w:t>White Wing,</w:t>
      </w:r>
      <w:r>
        <w:rPr>
          <w:sz w:val="22"/>
        </w:rPr>
        <w:t>”</w:t>
      </w:r>
      <w:r>
        <w:rPr>
          <w:sz w:val="22"/>
        </w:rPr>
        <w:t xml:space="preserve"> Enron is obliged to make up for the loss generated by a decrease in </w:t>
      </w:r>
      <w:r>
        <w:rPr>
          <w:sz w:val="22"/>
        </w:rPr>
        <w:t>collateral value.</w:t>
      </w:r>
      <w:r>
        <w:rPr>
          <w:sz w:val="22"/>
        </w:rPr>
        <w:t xml:space="preserve">  Therefore, the fall in Enron share prices until mid </w:t>
      </w:r>
      <w:r>
        <w:rPr>
          <w:sz w:val="22"/>
        </w:rPr>
        <w:t>November</w:t>
      </w:r>
      <w:r>
        <w:rPr>
          <w:sz w:val="22"/>
        </w:rPr>
        <w:t xml:space="preserve"> will force </w:t>
      </w:r>
      <w:r>
        <w:rPr>
          <w:sz w:val="22"/>
        </w:rPr>
        <w:t>the</w:t>
      </w:r>
      <w:r>
        <w:rPr>
          <w:sz w:val="22"/>
        </w:rPr>
        <w:t xml:space="preserve"> company to post a one-time pre-tax loss of $700 million for </w:t>
      </w:r>
      <w:r>
        <w:rPr>
          <w:sz w:val="22"/>
        </w:rPr>
        <w:t>the</w:t>
      </w:r>
      <w:r>
        <w:rPr>
          <w:sz w:val="22"/>
        </w:rPr>
        <w:t xml:space="preserve"> forth quarter.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  <w:t>The</w:t>
      </w:r>
      <w:r>
        <w:rPr>
          <w:sz w:val="22"/>
        </w:rPr>
        <w:t xml:space="preserve"> energy company secured a credit line of more </w:t>
      </w:r>
      <w:r>
        <w:rPr>
          <w:sz w:val="22"/>
        </w:rPr>
        <w:t>than</w:t>
      </w:r>
      <w:r>
        <w:rPr>
          <w:sz w:val="22"/>
        </w:rPr>
        <w:t xml:space="preserve"> $4 billion from banks when it announced </w:t>
      </w:r>
      <w:r>
        <w:rPr>
          <w:sz w:val="22"/>
        </w:rPr>
        <w:t>the</w:t>
      </w:r>
      <w:r>
        <w:rPr>
          <w:sz w:val="22"/>
        </w:rPr>
        <w:t xml:space="preserve"> acquisition plan.  It also received $1.5 billion from Chevron Texaco through Dynegy.  </w:t>
      </w:r>
      <w:r>
        <w:rPr>
          <w:sz w:val="22"/>
        </w:rPr>
        <w:t>The</w:t>
      </w:r>
      <w:r>
        <w:rPr>
          <w:sz w:val="22"/>
        </w:rPr>
        <w:t xml:space="preserve"> repayment date of </w:t>
      </w:r>
      <w:r>
        <w:rPr>
          <w:sz w:val="22"/>
        </w:rPr>
        <w:t>the</w:t>
      </w:r>
      <w:r>
        <w:rPr>
          <w:sz w:val="22"/>
        </w:rPr>
        <w:t xml:space="preserve"> $690 million debt has been extended to mid </w:t>
      </w:r>
      <w:r>
        <w:rPr>
          <w:sz w:val="22"/>
        </w:rPr>
        <w:t>December</w:t>
      </w:r>
      <w:r>
        <w:rPr>
          <w:sz w:val="22"/>
        </w:rPr>
        <w:t xml:space="preserve">.  </w:t>
      </w:r>
      <w:r>
        <w:rPr>
          <w:sz w:val="22"/>
        </w:rPr>
        <w:t>Dynegy released</w:t>
      </w:r>
      <w:r>
        <w:rPr>
          <w:sz w:val="22"/>
        </w:rPr>
        <w:t xml:space="preserve"> a statement on </w:t>
      </w:r>
      <w:r>
        <w:rPr>
          <w:sz w:val="22"/>
        </w:rPr>
        <w:t>November</w:t>
      </w:r>
      <w:r>
        <w:rPr>
          <w:sz w:val="22"/>
        </w:rPr>
        <w:t xml:space="preserve"> 21 </w:t>
      </w:r>
      <w:r>
        <w:rPr>
          <w:sz w:val="22"/>
        </w:rPr>
        <w:t>that</w:t>
      </w:r>
      <w:r>
        <w:rPr>
          <w:sz w:val="22"/>
        </w:rPr>
        <w:t xml:space="preserve"> it </w:t>
      </w:r>
      <w:r>
        <w:rPr>
          <w:sz w:val="22"/>
        </w:rPr>
        <w:t>was working to “accelerate the regulatory approvals required to complete the merger</w:t>
      </w:r>
      <w:r>
        <w:rPr>
          <w:sz w:val="22"/>
        </w:rPr>
        <w:t>.</w:t>
      </w:r>
      <w:r>
        <w:rPr>
          <w:sz w:val="22"/>
        </w:rPr>
        <w:t>”</w:t>
      </w:r>
      <w:r>
        <w:rPr>
          <w:sz w:val="22"/>
        </w:rPr>
        <w:t xml:space="preserve"> (Chuck Watson, Dynegy </w:t>
      </w:r>
      <w:r>
        <w:rPr>
          <w:sz w:val="22"/>
        </w:rPr>
        <w:t>chairman</w:t>
      </w:r>
      <w:r>
        <w:rPr>
          <w:sz w:val="22"/>
        </w:rPr>
        <w:t xml:space="preserve">)  </w:t>
      </w:r>
      <w:r>
        <w:rPr>
          <w:sz w:val="22"/>
        </w:rPr>
        <w:t>J.P. Morgan Chase &amp;</w:t>
      </w:r>
      <w:r>
        <w:rPr>
          <w:sz w:val="22"/>
        </w:rPr>
        <w:t xml:space="preserve"> </w:t>
      </w:r>
      <w:r>
        <w:rPr>
          <w:sz w:val="22"/>
        </w:rPr>
        <w:t>Co</w:t>
      </w:r>
      <w:r>
        <w:rPr>
          <w:sz w:val="22"/>
        </w:rPr>
        <w:t xml:space="preserve">., </w:t>
      </w:r>
      <w:r>
        <w:rPr>
          <w:sz w:val="22"/>
        </w:rPr>
        <w:t>the</w:t>
      </w:r>
      <w:r>
        <w:rPr>
          <w:sz w:val="22"/>
        </w:rPr>
        <w:t xml:space="preserve"> leader of Enron</w:t>
      </w:r>
      <w:r>
        <w:rPr>
          <w:sz w:val="22"/>
        </w:rPr>
        <w:t>’</w:t>
      </w:r>
      <w:r>
        <w:rPr>
          <w:sz w:val="22"/>
        </w:rPr>
        <w:t xml:space="preserve">s creditor banks, also announced that it would </w:t>
      </w:r>
      <w:r>
        <w:rPr>
          <w:sz w:val="22"/>
        </w:rPr>
        <w:t>“develop a plan to strengthen Enron's financial position up to and</w:t>
      </w:r>
      <w:r>
        <w:rPr>
          <w:sz w:val="22"/>
        </w:rPr>
        <w:t xml:space="preserve"> </w:t>
      </w:r>
      <w:r>
        <w:rPr>
          <w:sz w:val="22"/>
        </w:rPr>
        <w:t>through its merger with Dynegy.”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/>
      </w:pPr>
      <w:r>
        <w:rPr>
          <w:sz w:val="22"/>
        </w:rPr>
        <w:t xml:space="preserve">However, Enron shares plunged 44% over the two days after it submitted the </w:t>
      </w:r>
      <w:r>
        <w:rPr>
          <w:sz w:val="22"/>
        </w:rPr>
        <w:t>document</w:t>
      </w:r>
      <w:r>
        <w:rPr>
          <w:sz w:val="22"/>
        </w:rPr>
        <w:t xml:space="preserve"> to SEC to close at $5.01 on </w:t>
      </w:r>
      <w:r>
        <w:rPr>
          <w:sz w:val="22"/>
        </w:rPr>
        <w:t>November</w:t>
      </w:r>
      <w:r>
        <w:rPr>
          <w:sz w:val="22"/>
        </w:rPr>
        <w:t xml:space="preserve"> 21, a record low since April 1989.  </w:t>
      </w:r>
      <w:r>
        <w:rPr>
          <w:sz w:val="22"/>
        </w:rPr>
        <w:t>The</w:t>
      </w:r>
      <w:r>
        <w:rPr>
          <w:sz w:val="22"/>
        </w:rPr>
        <w:t xml:space="preserve"> price far below </w:t>
      </w:r>
      <w:r>
        <w:rPr>
          <w:sz w:val="22"/>
        </w:rPr>
        <w:t>the</w:t>
      </w:r>
      <w:r>
        <w:rPr>
          <w:sz w:val="22"/>
        </w:rPr>
        <w:t xml:space="preserve"> acquisition price </w:t>
      </w:r>
      <w:r>
        <w:rPr>
          <w:sz w:val="22"/>
        </w:rPr>
        <w:t xml:space="preserve">(a little more than </w:t>
      </w:r>
      <w:r>
        <w:rPr>
          <w:sz w:val="22"/>
        </w:rPr>
        <w:t>$10 a share</w:t>
      </w:r>
      <w:r>
        <w:rPr>
          <w:sz w:val="22"/>
        </w:rPr>
        <w:t>)</w:t>
      </w:r>
      <w:r>
        <w:rPr>
          <w:sz w:val="22"/>
        </w:rPr>
        <w:t xml:space="preserve"> is proof of investors</w:t>
      </w:r>
      <w:r>
        <w:rPr>
          <w:sz w:val="22"/>
        </w:rPr>
        <w:t>’</w:t>
      </w:r>
      <w:r>
        <w:rPr>
          <w:sz w:val="22"/>
        </w:rPr>
        <w:t xml:space="preserve"> doubt on </w:t>
      </w:r>
      <w:r>
        <w:rPr>
          <w:sz w:val="22"/>
        </w:rPr>
        <w:t>the</w:t>
      </w:r>
      <w:r>
        <w:rPr>
          <w:sz w:val="22"/>
        </w:rPr>
        <w:t xml:space="preserve"> completion of the deal.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/>
      </w:pPr>
      <w:r>
        <w:rPr>
          <w:sz w:val="22"/>
        </w:rPr>
        <w:t>If Enron becomes unable to raise funds, turmoil may occur on financial markets, affecting a wide range of institutional investors as well as the company</w:t>
      </w:r>
      <w:r>
        <w:rPr>
          <w:sz w:val="22"/>
        </w:rPr>
        <w:t>’</w:t>
      </w:r>
      <w:r>
        <w:rPr>
          <w:sz w:val="22"/>
        </w:rPr>
        <w:t>s business partners.  In addition</w:t>
      </w:r>
      <w:r>
        <w:rPr>
          <w:sz w:val="22"/>
        </w:rPr>
        <w:t>, Dynegy</w:t>
      </w:r>
      <w:r>
        <w:rPr>
          <w:sz w:val="22"/>
        </w:rPr>
        <w:t xml:space="preserve"> might </w:t>
      </w:r>
      <w:r>
        <w:rPr>
          <w:sz w:val="22"/>
        </w:rPr>
        <w:t>withdraw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acquisition plan.  In this case, Enron will also face a financial crisis, giving a far-reaching impact to financial and </w:t>
      </w:r>
      <w:r>
        <w:rPr>
          <w:sz w:val="22"/>
        </w:rPr>
        <w:t>energy</w:t>
      </w:r>
      <w:r>
        <w:rPr>
          <w:sz w:val="22"/>
        </w:rPr>
        <w:t xml:space="preserve"> markets.</w:t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360"/>
        <w:jc w:val="both"/>
        <w:rPr>
          <w:sz w:val="22"/>
        </w:rPr>
      </w:pPr>
      <w:r>
        <w:rPr>
          <w:sz w:val="22"/>
        </w:rPr>
        <w:t>(Reported by Ken Chiba from Chicago)</w:t>
      </w:r>
    </w:p>
    <w:sectPr>
      <w:footerReference w:type="default" r:id="rId2"/>
      <w:type w:val="nextPage"/>
      <w:pgSz w:w="12240" w:h="15840"/>
      <w:pgMar w:left="1701" w:right="1701" w:gutter="0" w:header="0" w:top="1985" w:footer="72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ＭＳ 明朝" w:cs="Times New Roman"/>
      <w:color w:val="auto"/>
      <w:sz w:val="20"/>
      <w:szCs w:val="20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340"/>
      <w:outlineLvl w:val="0"/>
    </w:pPr>
    <w:rPr>
      <w:sz w:val="22"/>
      <w:u w:val="single"/>
    </w:rPr>
  </w:style>
  <w:style w:type="paragraph" w:styleId="Heading2">
    <w:name w:val="heading 2"/>
    <w:basedOn w:val="Normal"/>
    <w:next w:val="Style11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Style11"/>
    <w:qFormat/>
    <w:pPr>
      <w:keepNext w:val="true"/>
      <w:numPr>
        <w:ilvl w:val="2"/>
        <w:numId w:val="1"/>
      </w:numPr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Style11"/>
    <w:qFormat/>
    <w:pPr>
      <w:keepNext w:val="true"/>
      <w:numPr>
        <w:ilvl w:val="3"/>
        <w:numId w:val="1"/>
      </w:numPr>
      <w:spacing w:lineRule="exact" w:line="36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Style11"/>
    <w:qFormat/>
    <w:pPr>
      <w:keepNext w:val="true"/>
      <w:numPr>
        <w:ilvl w:val="4"/>
        <w:numId w:val="1"/>
      </w:numPr>
      <w:spacing w:lineRule="exact" w:line="360"/>
      <w:jc w:val="center"/>
      <w:outlineLvl w:val="4"/>
    </w:pPr>
    <w:rPr>
      <w:sz w:val="22"/>
      <w:u w:val="single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  <w:color w:val="auto"/>
    </w:rPr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3z0">
    <w:name w:val="WW8Num23z0"/>
    <w:qFormat/>
    <w:rPr/>
  </w:style>
  <w:style w:type="character" w:styleId="Style9">
    <w:name w:val="段落ﾌｫﾝﾄ"/>
    <w:qFormat/>
    <w:rPr/>
  </w:style>
  <w:style w:type="character" w:styleId="PageNumber">
    <w:name w:val="page number"/>
    <w:basedOn w:val="Style9"/>
    <w:rPr/>
  </w:style>
  <w:style w:type="character" w:styleId="Hyperlink">
    <w:name w:val="Hyperlink"/>
    <w:basedOn w:val="Style9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340"/>
      <w:jc w:val="center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ｽﾀｲﾙ1"/>
    <w:basedOn w:val="Normal"/>
    <w:qFormat/>
    <w:pPr/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10">
    <w:name w:val="日付"/>
    <w:basedOn w:val="Normal"/>
    <w:next w:val="Normal"/>
    <w:qFormat/>
    <w:pPr>
      <w:widowControl w:val="false"/>
      <w:jc w:val="both"/>
    </w:pPr>
    <w:rPr>
      <w:rFonts w:ascii="Century" w:hAnsi="Century" w:cs="Century"/>
      <w:kern w:val="2"/>
      <w:sz w:val="24"/>
    </w:rPr>
  </w:style>
  <w:style w:type="paragraph" w:styleId="Style11">
    <w:name w:val="標準ｲﾝﾃﾞﾝﾄ"/>
    <w:basedOn w:val="Normal"/>
    <w:qFormat/>
    <w:pPr>
      <w:ind w:hanging="0" w:start="851" w:end="0"/>
    </w:pPr>
    <w:rPr/>
  </w:style>
  <w:style w:type="paragraph" w:styleId="2">
    <w:name w:val="本文 2"/>
    <w:basedOn w:val="Normal"/>
    <w:qFormat/>
    <w:pPr>
      <w:spacing w:lineRule="exact" w:line="340"/>
    </w:pPr>
    <w:rPr>
      <w:sz w:val="22"/>
    </w:rPr>
  </w:style>
  <w:style w:type="paragraph" w:styleId="3">
    <w:name w:val="本文 3"/>
    <w:basedOn w:val="Normal"/>
    <w:qFormat/>
    <w:pPr>
      <w:jc w:val="both"/>
    </w:pPr>
    <w:rPr>
      <w:sz w:val="22"/>
    </w:rPr>
  </w:style>
  <w:style w:type="paragraph" w:styleId="Style12">
    <w:name w:val="見出しﾏｯﾌﾟ"/>
    <w:basedOn w:val="Normal"/>
    <w:qFormat/>
    <w:pPr>
      <w:shd w:fill="000080" w:val="clear"/>
    </w:pPr>
    <w:rPr>
      <w:rFonts w:ascii="Arial" w:hAnsi="Arial" w:eastAsia="ＭＳ ゴシック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8001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2001-02-09T05:38:00Z</dcterms:created>
  <dc:creator/>
  <dc:description/>
  <dc:language>en-CA</dc:language>
  <cp:lastModifiedBy>IRJ PR Services</cp:lastModifiedBy>
  <cp:lastPrinted>2001-11-26T14:57:00Z</cp:lastPrinted>
  <dcterms:modified xsi:type="dcterms:W3CDTF">2001-11-26T03:39:00Z</dcterms:modified>
  <cp:revision>1396</cp:revision>
  <dc:subject/>
  <dc:title>Tokyo Electric Power Company Freeze construction of Power Plant </dc:title>
</cp:coreProperties>
</file>