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exact" w:line="240"/>
        <w:outlineLvl w:val="0"/>
        <w:rPr>
          <w:sz w:val="21"/>
        </w:rPr>
      </w:pPr>
      <w:r>
        <w:rPr>
          <w:sz w:val="21"/>
        </w:rPr>
        <w:t>Nihon Keizai Shimbun</w:t>
      </w:r>
    </w:p>
    <w:p>
      <w:pPr>
        <w:pStyle w:val="Normal"/>
        <w:spacing w:lineRule="exact" w:line="240"/>
        <w:rPr/>
      </w:pPr>
      <w:r>
        <w:rPr>
          <w:sz w:val="21"/>
        </w:rPr>
        <w:t xml:space="preserve">November </w:t>
      </w:r>
      <w:r>
        <w:rPr>
          <w:sz w:val="21"/>
        </w:rPr>
        <w:t>22,</w:t>
      </w:r>
      <w:r>
        <w:rPr>
          <w:sz w:val="21"/>
        </w:rPr>
        <w:t xml:space="preserve"> 2001</w:t>
      </w:r>
      <w:r>
        <w:rPr>
          <w:sz w:val="21"/>
        </w:rPr>
        <w:t xml:space="preserve"> (morning)</w:t>
      </w:r>
    </w:p>
    <w:p>
      <w:pPr>
        <w:pStyle w:val="Normal"/>
        <w:spacing w:lineRule="exact" w:line="240"/>
        <w:rPr>
          <w:sz w:val="21"/>
        </w:rPr>
      </w:pPr>
      <w:r>
        <w:rPr>
          <w:sz w:val="21"/>
        </w:rPr>
        <w:t>Circulation: 3,044,000</w:t>
      </w:r>
    </w:p>
    <w:p>
      <w:pPr>
        <w:pStyle w:val="Normal"/>
        <w:spacing w:lineRule="exact" w:line="240"/>
        <w:rPr>
          <w:sz w:val="21"/>
        </w:rPr>
      </w:pPr>
      <w:r>
        <w:rPr>
          <w:sz w:val="21"/>
        </w:rPr>
        <w:t>Page 13</w:t>
      </w:r>
    </w:p>
    <w:p>
      <w:pPr>
        <w:pStyle w:val="Style10"/>
        <w:jc w:val="start"/>
        <w:rPr>
          <w:rFonts w:ascii="Times New Roman" w:hAnsi="Times New Roman" w:cs="Times New Roman"/>
          <w:sz w:val="21"/>
        </w:rPr>
      </w:pPr>
      <w:r>
        <w:rPr>
          <w:rFonts w:cs="Times New Roman" w:ascii="Times New Roman" w:hAnsi="Times New Roman"/>
          <w:sz w:val="21"/>
        </w:rPr>
      </w:r>
    </w:p>
    <w:p>
      <w:pPr>
        <w:pStyle w:val="Normal"/>
        <w:jc w:val="center"/>
        <w:rPr>
          <w:b/>
          <w:sz w:val="24"/>
        </w:rPr>
      </w:pPr>
      <w:r>
        <w:rPr>
          <w:b/>
          <w:sz w:val="24"/>
        </w:rPr>
        <w:t>Enron considers withdrawal from the Japanese market</w:t>
      </w:r>
    </w:p>
    <w:p>
      <w:pPr>
        <w:pStyle w:val="BodyText"/>
        <w:numPr>
          <w:ilvl w:val="0"/>
          <w:numId w:val="0"/>
        </w:numPr>
        <w:spacing w:lineRule="exact" w:line="360"/>
        <w:outlineLvl w:val="0"/>
        <w:rPr/>
      </w:pPr>
      <w:r>
        <w:rPr/>
        <w:t xml:space="preserve">The company tells </w:t>
      </w:r>
      <w:r>
        <w:rPr/>
        <w:t>the</w:t>
      </w:r>
      <w:r>
        <w:rPr/>
        <w:t xml:space="preserve"> possibility of dismissal to the staff members </w:t>
      </w:r>
    </w:p>
    <w:p>
      <w:pPr>
        <w:pStyle w:val="BodyText"/>
        <w:numPr>
          <w:ilvl w:val="0"/>
          <w:numId w:val="0"/>
        </w:numPr>
        <w:spacing w:lineRule="exact" w:line="360"/>
        <w:outlineLvl w:val="0"/>
        <w:rPr/>
      </w:pPr>
      <w:r>
        <w:rPr/>
        <w:t>of its Japanese units</w:t>
      </w:r>
    </w:p>
    <w:p>
      <w:pPr>
        <w:pStyle w:val="Normal"/>
        <w:spacing w:lineRule="exact" w:line="360"/>
        <w:jc w:val="center"/>
        <w:rPr>
          <w:b/>
          <w:sz w:val="24"/>
        </w:rPr>
      </w:pPr>
      <w:r>
        <w:rPr>
          <w:b/>
          <w:sz w:val="24"/>
        </w:rPr>
      </w:r>
    </w:p>
    <w:p>
      <w:pPr>
        <w:pStyle w:val="Normal"/>
        <w:spacing w:lineRule="exact" w:line="360"/>
        <w:jc w:val="both"/>
        <w:rPr/>
      </w:pPr>
      <w:r>
        <w:rPr>
          <w:rFonts w:eastAsia="Times New Roman"/>
        </w:rPr>
        <w:t xml:space="preserve"> </w:t>
      </w:r>
      <w:r>
        <w:rPr>
          <w:sz w:val="22"/>
        </w:rPr>
        <w:t xml:space="preserve">Enron Corp., a major energy company based in </w:t>
      </w:r>
      <w:r>
        <w:rPr>
          <w:sz w:val="22"/>
        </w:rPr>
        <w:t>the</w:t>
      </w:r>
      <w:r>
        <w:rPr>
          <w:sz w:val="22"/>
        </w:rPr>
        <w:t xml:space="preserve"> United States, has begun examining </w:t>
      </w:r>
      <w:r>
        <w:rPr>
          <w:sz w:val="22"/>
        </w:rPr>
        <w:t>the</w:t>
      </w:r>
      <w:r>
        <w:rPr>
          <w:sz w:val="22"/>
        </w:rPr>
        <w:t xml:space="preserve"> possibility of pullout from the Japanese market.  </w:t>
      </w:r>
      <w:r>
        <w:rPr>
          <w:sz w:val="22"/>
        </w:rPr>
        <w:t>The</w:t>
      </w:r>
      <w:r>
        <w:rPr>
          <w:sz w:val="22"/>
        </w:rPr>
        <w:t xml:space="preserve"> company</w:t>
      </w:r>
      <w:r>
        <w:rPr>
          <w:sz w:val="22"/>
        </w:rPr>
        <w:t>’</w:t>
      </w:r>
      <w:r>
        <w:rPr>
          <w:sz w:val="22"/>
        </w:rPr>
        <w:t xml:space="preserve">s </w:t>
      </w:r>
      <w:r>
        <w:rPr>
          <w:sz w:val="22"/>
        </w:rPr>
        <w:t>financial</w:t>
      </w:r>
      <w:r>
        <w:rPr>
          <w:sz w:val="22"/>
        </w:rPr>
        <w:t xml:space="preserve"> condition was deteriorated by its failed derivatives trading.  As a result, it decided to be taken over by its rival Dynegy Inc.  Dynegy has indicated its policy to focus on businesses in Europe and </w:t>
      </w:r>
      <w:r>
        <w:rPr>
          <w:sz w:val="22"/>
        </w:rPr>
        <w:t>the</w:t>
      </w:r>
      <w:r>
        <w:rPr>
          <w:sz w:val="22"/>
        </w:rPr>
        <w:t xml:space="preserve"> Unite States.  </w:t>
      </w:r>
      <w:r>
        <w:rPr>
          <w:sz w:val="22"/>
        </w:rPr>
        <w:t>The</w:t>
      </w:r>
      <w:r>
        <w:rPr>
          <w:sz w:val="22"/>
        </w:rPr>
        <w:t xml:space="preserve"> company has </w:t>
      </w:r>
      <w:r>
        <w:rPr>
          <w:sz w:val="22"/>
        </w:rPr>
        <w:t>apparently</w:t>
      </w:r>
      <w:r>
        <w:rPr>
          <w:sz w:val="22"/>
        </w:rPr>
        <w:t xml:space="preserve"> judged that business on </w:t>
      </w:r>
      <w:r>
        <w:rPr>
          <w:sz w:val="22"/>
        </w:rPr>
        <w:t>the</w:t>
      </w:r>
      <w:r>
        <w:rPr>
          <w:sz w:val="22"/>
        </w:rPr>
        <w:t xml:space="preserve"> </w:t>
      </w:r>
      <w:r>
        <w:rPr>
          <w:sz w:val="22"/>
        </w:rPr>
        <w:t>Japanese</w:t>
      </w:r>
      <w:r>
        <w:rPr>
          <w:sz w:val="22"/>
        </w:rPr>
        <w:t xml:space="preserve"> market would be unprofitable, as demand </w:t>
      </w:r>
      <w:r>
        <w:rPr>
          <w:sz w:val="22"/>
        </w:rPr>
        <w:t xml:space="preserve">is stagnating and </w:t>
      </w:r>
      <w:r>
        <w:rPr>
          <w:sz w:val="22"/>
        </w:rPr>
        <w:t>there is little room for newcomers to provide services.</w:t>
      </w:r>
    </w:p>
    <w:p>
      <w:pPr>
        <w:pStyle w:val="Normal"/>
        <w:spacing w:lineRule="exact" w:line="360"/>
        <w:jc w:val="both"/>
        <w:rPr>
          <w:sz w:val="22"/>
        </w:rPr>
      </w:pPr>
      <w:r>
        <w:rPr>
          <w:sz w:val="22"/>
        </w:rPr>
      </w:r>
    </w:p>
    <w:p>
      <w:pPr>
        <w:pStyle w:val="Normal"/>
        <w:spacing w:lineRule="exact" w:line="360"/>
        <w:jc w:val="both"/>
        <w:rPr/>
      </w:pPr>
      <w:r>
        <w:rPr>
          <w:sz w:val="22"/>
        </w:rPr>
        <w:t>Sources close to Enron Japan Corp. (headquarters: Chiyoda, Tokyo), Enron</w:t>
      </w:r>
      <w:r>
        <w:rPr>
          <w:sz w:val="22"/>
        </w:rPr>
        <w:t>’</w:t>
      </w:r>
      <w:r>
        <w:rPr>
          <w:sz w:val="22"/>
        </w:rPr>
        <w:t xml:space="preserve">s Japanese unit, say </w:t>
      </w:r>
      <w:r>
        <w:rPr>
          <w:sz w:val="22"/>
        </w:rPr>
        <w:t>that</w:t>
      </w:r>
      <w:r>
        <w:rPr>
          <w:sz w:val="22"/>
        </w:rPr>
        <w:t xml:space="preserve"> the U.S. </w:t>
      </w:r>
      <w:r>
        <w:rPr>
          <w:sz w:val="22"/>
        </w:rPr>
        <w:t>company</w:t>
      </w:r>
      <w:r>
        <w:rPr>
          <w:sz w:val="22"/>
        </w:rPr>
        <w:t xml:space="preserve"> has told </w:t>
      </w:r>
      <w:r>
        <w:rPr>
          <w:sz w:val="22"/>
        </w:rPr>
        <w:t>all staff members of Enron</w:t>
      </w:r>
      <w:r>
        <w:rPr>
          <w:sz w:val="22"/>
        </w:rPr>
        <w:t xml:space="preserve"> </w:t>
      </w:r>
      <w:r>
        <w:rPr>
          <w:sz w:val="22"/>
        </w:rPr>
        <w:t xml:space="preserve">Japan and E Power </w:t>
      </w:r>
      <w:r>
        <w:rPr>
          <w:sz w:val="22"/>
        </w:rPr>
        <w:t>(headquarters: Chiyoda, Tokyo), Enron</w:t>
      </w:r>
      <w:r>
        <w:rPr>
          <w:sz w:val="22"/>
        </w:rPr>
        <w:t>’</w:t>
      </w:r>
      <w:r>
        <w:rPr>
          <w:sz w:val="22"/>
        </w:rPr>
        <w:t xml:space="preserve">s power generating division in Japan, about </w:t>
      </w:r>
      <w:r>
        <w:rPr>
          <w:sz w:val="22"/>
        </w:rPr>
        <w:t>“</w:t>
      </w:r>
      <w:r>
        <w:rPr>
          <w:sz w:val="22"/>
        </w:rPr>
        <w:t>the possibility of dismissal.</w:t>
      </w:r>
      <w:r>
        <w:rPr>
          <w:sz w:val="22"/>
        </w:rPr>
        <w:t>”</w:t>
      </w:r>
      <w:r>
        <w:rPr>
          <w:sz w:val="22"/>
        </w:rPr>
        <w:t xml:space="preserve">  </w:t>
      </w:r>
      <w:r>
        <w:rPr>
          <w:sz w:val="22"/>
        </w:rPr>
        <w:t>The</w:t>
      </w:r>
      <w:r>
        <w:rPr>
          <w:sz w:val="22"/>
        </w:rPr>
        <w:t xml:space="preserve"> company will also examine the option of selling </w:t>
      </w:r>
      <w:r>
        <w:rPr>
          <w:sz w:val="22"/>
        </w:rPr>
        <w:t>the</w:t>
      </w:r>
      <w:r>
        <w:rPr>
          <w:sz w:val="22"/>
        </w:rPr>
        <w:t xml:space="preserve"> Japanese units to other companies.  However, sales negotiation is likely to face rough going.</w:t>
      </w:r>
    </w:p>
    <w:p>
      <w:pPr>
        <w:pStyle w:val="Normal"/>
        <w:spacing w:lineRule="exact" w:line="360"/>
        <w:jc w:val="both"/>
        <w:rPr>
          <w:sz w:val="22"/>
        </w:rPr>
      </w:pPr>
      <w:r>
        <w:rPr>
          <w:sz w:val="22"/>
        </w:rPr>
      </w:r>
    </w:p>
    <w:p>
      <w:pPr>
        <w:pStyle w:val="Normal"/>
        <w:spacing w:lineRule="exact" w:line="360"/>
        <w:jc w:val="both"/>
        <w:rPr/>
      </w:pPr>
      <w:r>
        <w:rPr>
          <w:sz w:val="22"/>
        </w:rPr>
        <w:t xml:space="preserve">Enron began operations in Japan in 1999, anticipating deregulation on the </w:t>
      </w:r>
      <w:r>
        <w:rPr>
          <w:sz w:val="22"/>
        </w:rPr>
        <w:t>Japanese</w:t>
      </w:r>
      <w:r>
        <w:rPr>
          <w:sz w:val="22"/>
        </w:rPr>
        <w:t xml:space="preserve"> electricity market.  </w:t>
      </w:r>
      <w:r>
        <w:rPr>
          <w:sz w:val="22"/>
        </w:rPr>
        <w:t>The</w:t>
      </w:r>
      <w:r>
        <w:rPr>
          <w:sz w:val="22"/>
        </w:rPr>
        <w:t xml:space="preserve"> </w:t>
      </w:r>
      <w:r>
        <w:rPr>
          <w:sz w:val="22"/>
        </w:rPr>
        <w:t>company</w:t>
      </w:r>
      <w:r>
        <w:rPr>
          <w:sz w:val="22"/>
        </w:rPr>
        <w:t xml:space="preserve"> </w:t>
      </w:r>
      <w:r>
        <w:rPr>
          <w:sz w:val="22"/>
        </w:rPr>
        <w:t>planned</w:t>
      </w:r>
      <w:r>
        <w:rPr>
          <w:sz w:val="22"/>
        </w:rPr>
        <w:t xml:space="preserve"> to build a 2 million-kw power plant by 2007 in Aomori Prefecture, and a 1.4 million-kw plant by 2006 in Yamaguchi Prefecture in a bid to retail electricity at a price lower than offered by incumbent utilities.  In spring this year, </w:t>
      </w:r>
      <w:r>
        <w:rPr>
          <w:sz w:val="22"/>
        </w:rPr>
        <w:t>the</w:t>
      </w:r>
      <w:r>
        <w:rPr>
          <w:sz w:val="22"/>
        </w:rPr>
        <w:t xml:space="preserve"> </w:t>
      </w:r>
      <w:r>
        <w:rPr>
          <w:sz w:val="22"/>
        </w:rPr>
        <w:t>company</w:t>
      </w:r>
      <w:r>
        <w:rPr>
          <w:sz w:val="22"/>
        </w:rPr>
        <w:t xml:space="preserve"> released a report that pointed out barriers to newcomers</w:t>
      </w:r>
      <w:r>
        <w:rPr>
          <w:sz w:val="22"/>
        </w:rPr>
        <w:t>’</w:t>
      </w:r>
      <w:r>
        <w:rPr>
          <w:sz w:val="22"/>
        </w:rPr>
        <w:t xml:space="preserve"> entry into the </w:t>
      </w:r>
      <w:r>
        <w:rPr>
          <w:sz w:val="22"/>
        </w:rPr>
        <w:t>Japanese</w:t>
      </w:r>
      <w:r>
        <w:rPr>
          <w:sz w:val="22"/>
        </w:rPr>
        <w:t xml:space="preserve"> electricity market.  Enron had urged adamantly breaking up incumbent electric power </w:t>
      </w:r>
      <w:r>
        <w:rPr>
          <w:sz w:val="22"/>
        </w:rPr>
        <w:t>companies</w:t>
      </w:r>
      <w:r>
        <w:rPr>
          <w:sz w:val="22"/>
        </w:rPr>
        <w:t xml:space="preserve"> and expanding the scope of liberalization on the retail power market.</w:t>
      </w:r>
    </w:p>
    <w:p>
      <w:pPr>
        <w:pStyle w:val="Normal"/>
        <w:spacing w:lineRule="exact" w:line="360"/>
        <w:jc w:val="both"/>
        <w:rPr>
          <w:sz w:val="22"/>
        </w:rPr>
      </w:pPr>
      <w:r>
        <w:rPr>
          <w:sz w:val="22"/>
        </w:rPr>
      </w:r>
    </w:p>
    <w:p>
      <w:pPr>
        <w:pStyle w:val="Normal"/>
        <w:spacing w:lineRule="exact" w:line="360"/>
        <w:jc w:val="both"/>
        <w:rPr/>
      </w:pPr>
      <w:r>
        <w:rPr>
          <w:sz w:val="22"/>
        </w:rPr>
        <w:t>However, the company found out that the profitability of the above projects was not as high as expected because it would need new investments to lay cables to transmit electricity to customers.  In addition, deregulation did not make progress in Japan</w:t>
      </w:r>
      <w:r>
        <w:rPr>
          <w:sz w:val="22"/>
        </w:rPr>
        <w:t>’</w:t>
      </w:r>
      <w:r>
        <w:rPr>
          <w:sz w:val="22"/>
        </w:rPr>
        <w:t>s electricity industry as much as Enron had anticipated, and demand for electricity stagnated due to recession.</w:t>
      </w:r>
    </w:p>
    <w:p>
      <w:pPr>
        <w:pStyle w:val="Normal"/>
        <w:spacing w:lineRule="exact" w:line="360"/>
        <w:jc w:val="both"/>
        <w:rPr>
          <w:sz w:val="22"/>
        </w:rPr>
      </w:pPr>
      <w:r>
        <w:rPr>
          <w:sz w:val="22"/>
        </w:rPr>
      </w:r>
    </w:p>
    <w:p>
      <w:pPr>
        <w:pStyle w:val="Normal"/>
        <w:spacing w:lineRule="exact" w:line="360"/>
        <w:jc w:val="both"/>
        <w:rPr/>
      </w:pPr>
      <w:r>
        <w:rPr>
          <w:sz w:val="22"/>
        </w:rPr>
        <w:t xml:space="preserve">Dynegy, which has decided to acquire Enron, announced, </w:t>
      </w:r>
      <w:r>
        <w:rPr>
          <w:sz w:val="22"/>
        </w:rPr>
        <w:t>“</w:t>
      </w:r>
      <w:r>
        <w:rPr>
          <w:sz w:val="22"/>
        </w:rPr>
        <w:t xml:space="preserve">a new </w:t>
      </w:r>
      <w:r>
        <w:rPr>
          <w:sz w:val="22"/>
        </w:rPr>
        <w:t>company</w:t>
      </w:r>
      <w:r>
        <w:rPr>
          <w:sz w:val="22"/>
        </w:rPr>
        <w:t xml:space="preserve"> resulting from </w:t>
      </w:r>
      <w:r>
        <w:rPr>
          <w:sz w:val="22"/>
        </w:rPr>
        <w:t>the</w:t>
      </w:r>
      <w:r>
        <w:rPr>
          <w:sz w:val="22"/>
        </w:rPr>
        <w:t xml:space="preserve"> merger will focus on </w:t>
      </w:r>
      <w:r>
        <w:rPr>
          <w:sz w:val="22"/>
        </w:rPr>
        <w:t>the</w:t>
      </w:r>
      <w:r>
        <w:rPr>
          <w:sz w:val="22"/>
        </w:rPr>
        <w:t xml:space="preserve"> wholesale of energy products in North America and </w:t>
      </w:r>
      <w:r>
        <w:rPr>
          <w:sz w:val="22"/>
        </w:rPr>
        <w:t>Europe</w:t>
      </w:r>
      <w:r>
        <w:rPr>
          <w:sz w:val="22"/>
        </w:rPr>
        <w:t>,</w:t>
      </w:r>
      <w:r>
        <w:rPr>
          <w:sz w:val="22"/>
        </w:rPr>
        <w:t>”</w:t>
      </w:r>
      <w:r>
        <w:rPr>
          <w:sz w:val="22"/>
        </w:rPr>
        <w:t xml:space="preserve"> on </w:t>
      </w:r>
      <w:r>
        <w:rPr>
          <w:sz w:val="22"/>
        </w:rPr>
        <w:t>November</w:t>
      </w:r>
      <w:r>
        <w:rPr>
          <w:sz w:val="22"/>
        </w:rPr>
        <w:t xml:space="preserve"> 9, but has avoided commenting on Enron</w:t>
      </w:r>
      <w:r>
        <w:rPr>
          <w:sz w:val="22"/>
        </w:rPr>
        <w:t>’</w:t>
      </w:r>
      <w:r>
        <w:rPr>
          <w:sz w:val="22"/>
        </w:rPr>
        <w:t>s operations in Asia including Japan.</w:t>
      </w:r>
    </w:p>
    <w:sectPr>
      <w:footerReference w:type="default" r:id="rId2"/>
      <w:type w:val="nextPage"/>
      <w:pgSz w:w="12240" w:h="15840"/>
      <w:pgMar w:left="1701" w:right="1701" w:gutter="0" w:header="0" w:top="1985" w:footer="720"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Century">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ＭＳ 明朝" w:cs="Times New Roman"/>
      <w:color w:val="auto"/>
      <w:sz w:val="20"/>
      <w:szCs w:val="20"/>
      <w:lang w:val="en-US" w:eastAsia="ja-JP" w:bidi="ar-SA"/>
    </w:rPr>
  </w:style>
  <w:style w:type="paragraph" w:styleId="Heading1">
    <w:name w:val="heading 1"/>
    <w:basedOn w:val="Normal"/>
    <w:next w:val="Normal"/>
    <w:qFormat/>
    <w:pPr>
      <w:keepNext w:val="true"/>
      <w:numPr>
        <w:ilvl w:val="0"/>
        <w:numId w:val="1"/>
      </w:numPr>
      <w:spacing w:lineRule="exact" w:line="340"/>
      <w:outlineLvl w:val="0"/>
    </w:pPr>
    <w:rPr>
      <w:sz w:val="22"/>
      <w:u w:val="single"/>
    </w:rPr>
  </w:style>
  <w:style w:type="paragraph" w:styleId="Heading2">
    <w:name w:val="heading 2"/>
    <w:basedOn w:val="Normal"/>
    <w:next w:val="Style11"/>
    <w:qFormat/>
    <w:pPr>
      <w:keepNext w:val="true"/>
      <w:numPr>
        <w:ilvl w:val="1"/>
        <w:numId w:val="1"/>
      </w:numPr>
      <w:jc w:val="center"/>
      <w:outlineLvl w:val="1"/>
    </w:pPr>
    <w:rPr>
      <w:b/>
      <w:sz w:val="24"/>
    </w:rPr>
  </w:style>
  <w:style w:type="paragraph" w:styleId="Heading3">
    <w:name w:val="heading 3"/>
    <w:basedOn w:val="Normal"/>
    <w:next w:val="Style11"/>
    <w:qFormat/>
    <w:pPr>
      <w:keepNext w:val="true"/>
      <w:numPr>
        <w:ilvl w:val="2"/>
        <w:numId w:val="1"/>
      </w:numPr>
      <w:jc w:val="both"/>
      <w:outlineLvl w:val="2"/>
    </w:pPr>
    <w:rPr>
      <w:sz w:val="22"/>
      <w:u w:val="single"/>
    </w:rPr>
  </w:style>
  <w:style w:type="paragraph" w:styleId="Heading4">
    <w:name w:val="heading 4"/>
    <w:basedOn w:val="Normal"/>
    <w:next w:val="Style11"/>
    <w:qFormat/>
    <w:pPr>
      <w:keepNext w:val="true"/>
      <w:numPr>
        <w:ilvl w:val="3"/>
        <w:numId w:val="1"/>
      </w:numPr>
      <w:spacing w:lineRule="exact" w:line="360"/>
      <w:jc w:val="center"/>
      <w:outlineLvl w:val="3"/>
    </w:pPr>
    <w:rPr>
      <w:b/>
      <w:sz w:val="22"/>
    </w:rPr>
  </w:style>
  <w:style w:type="paragraph" w:styleId="Heading5">
    <w:name w:val="heading 5"/>
    <w:basedOn w:val="Normal"/>
    <w:next w:val="Style11"/>
    <w:qFormat/>
    <w:pPr>
      <w:keepNext w:val="true"/>
      <w:numPr>
        <w:ilvl w:val="4"/>
        <w:numId w:val="1"/>
      </w:numPr>
      <w:spacing w:lineRule="exact" w:line="360"/>
      <w:jc w:val="center"/>
      <w:outlineLvl w:val="4"/>
    </w:pPr>
    <w:rPr>
      <w:sz w:val="22"/>
      <w:u w:val="single"/>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color w:val="auto"/>
    </w:rPr>
  </w:style>
  <w:style w:type="character" w:styleId="WW8Num14z0">
    <w:name w:val="WW8Num14z0"/>
    <w:qFormat/>
    <w:rPr/>
  </w:style>
  <w:style w:type="character" w:styleId="WW8Num15z0">
    <w:name w:val="WW8Num15z0"/>
    <w:qFormat/>
    <w:rPr>
      <w:rFonts w:ascii="Symbol" w:hAnsi="Symbol" w:cs="Symbol"/>
      <w:color w:val="auto"/>
    </w:rPr>
  </w:style>
  <w:style w:type="character" w:styleId="WW8Num16z0">
    <w:name w:val="WW8Num16z0"/>
    <w:qFormat/>
    <w:rPr>
      <w:rFonts w:ascii="Symbol" w:hAnsi="Symbol" w:cs="Symbol"/>
      <w:color w:val="auto"/>
    </w:rPr>
  </w:style>
  <w:style w:type="character" w:styleId="WW8Num17z0">
    <w:name w:val="WW8Num17z0"/>
    <w:qFormat/>
    <w:rPr>
      <w:rFonts w:ascii="Symbol" w:hAnsi="Symbol" w:cs="Symbol"/>
      <w:color w:val="auto"/>
    </w:rPr>
  </w:style>
  <w:style w:type="character" w:styleId="WW8Num18z0">
    <w:name w:val="WW8Num18z0"/>
    <w:qFormat/>
    <w:rPr>
      <w:rFonts w:ascii="Symbol" w:hAnsi="Symbol" w:cs="Symbol"/>
      <w:color w:val="auto"/>
    </w:rPr>
  </w:style>
  <w:style w:type="character" w:styleId="WW8Num19z0">
    <w:name w:val="WW8Num19z0"/>
    <w:qFormat/>
    <w:rPr/>
  </w:style>
  <w:style w:type="character" w:styleId="WW8Num20z0">
    <w:name w:val="WW8Num20z0"/>
    <w:qFormat/>
    <w:rPr>
      <w:rFonts w:ascii="Symbol" w:hAnsi="Symbol" w:cs="Symbol"/>
      <w:color w:val="auto"/>
    </w:rPr>
  </w:style>
  <w:style w:type="character" w:styleId="WW8Num21z0">
    <w:name w:val="WW8Num21z0"/>
    <w:qFormat/>
    <w:rPr>
      <w:rFonts w:ascii="Symbol" w:hAnsi="Symbol" w:cs="Symbol"/>
      <w:color w:val="auto"/>
    </w:rPr>
  </w:style>
  <w:style w:type="character" w:styleId="WW8Num22z0">
    <w:name w:val="WW8Num22z0"/>
    <w:qFormat/>
    <w:rPr>
      <w:rFonts w:ascii="Symbol" w:hAnsi="Symbol" w:cs="Symbol"/>
      <w:color w:val="auto"/>
    </w:rPr>
  </w:style>
  <w:style w:type="character" w:styleId="WW8Num23z0">
    <w:name w:val="WW8Num23z0"/>
    <w:qFormat/>
    <w:rPr/>
  </w:style>
  <w:style w:type="character" w:styleId="Style9">
    <w:name w:val="段落ﾌｫﾝﾄ"/>
    <w:qFormat/>
    <w:rPr/>
  </w:style>
  <w:style w:type="character" w:styleId="PageNumber">
    <w:name w:val="page number"/>
    <w:basedOn w:val="Style9"/>
    <w:rPr/>
  </w:style>
  <w:style w:type="character" w:styleId="Hyperlink">
    <w:name w:val="Hyperlink"/>
    <w:basedOn w:val="Style9"/>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340"/>
      <w:jc w:val="center"/>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
    <w:name w:val="ｽﾀｲﾙ1"/>
    <w:basedOn w:val="Normal"/>
    <w:qFormat/>
    <w:pPr/>
    <w:rPr>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252" w:leader="none"/>
        <w:tab w:val="right" w:pos="8504" w:leader="none"/>
      </w:tabs>
      <w:snapToGrid w:val="false"/>
    </w:pPr>
    <w:rPr/>
  </w:style>
  <w:style w:type="paragraph" w:styleId="Footer">
    <w:name w:val="footer"/>
    <w:basedOn w:val="Normal"/>
    <w:pPr>
      <w:tabs>
        <w:tab w:val="clear" w:pos="720"/>
        <w:tab w:val="center" w:pos="4252" w:leader="none"/>
        <w:tab w:val="right" w:pos="8504" w:leader="none"/>
      </w:tabs>
      <w:snapToGrid w:val="false"/>
    </w:pPr>
    <w:rPr/>
  </w:style>
  <w:style w:type="paragraph" w:styleId="Style10">
    <w:name w:val="日付"/>
    <w:basedOn w:val="Normal"/>
    <w:next w:val="Normal"/>
    <w:qFormat/>
    <w:pPr>
      <w:widowControl w:val="false"/>
      <w:jc w:val="both"/>
    </w:pPr>
    <w:rPr>
      <w:rFonts w:ascii="Century" w:hAnsi="Century" w:cs="Century"/>
      <w:kern w:val="2"/>
      <w:sz w:val="24"/>
    </w:rPr>
  </w:style>
  <w:style w:type="paragraph" w:styleId="Style11">
    <w:name w:val="標準ｲﾝﾃﾞﾝﾄ"/>
    <w:basedOn w:val="Normal"/>
    <w:qFormat/>
    <w:pPr>
      <w:ind w:hanging="0" w:start="851" w:end="0"/>
    </w:pPr>
    <w:rPr/>
  </w:style>
  <w:style w:type="paragraph" w:styleId="2">
    <w:name w:val="本文 2"/>
    <w:basedOn w:val="Normal"/>
    <w:qFormat/>
    <w:pPr>
      <w:spacing w:lineRule="exact" w:line="340"/>
    </w:pPr>
    <w:rPr>
      <w:sz w:val="22"/>
    </w:rPr>
  </w:style>
  <w:style w:type="paragraph" w:styleId="3">
    <w:name w:val="本文 3"/>
    <w:basedOn w:val="Normal"/>
    <w:qFormat/>
    <w:pPr>
      <w:jc w:val="both"/>
    </w:pPr>
    <w:rPr>
      <w:sz w:val="22"/>
    </w:rPr>
  </w:style>
  <w:style w:type="paragraph" w:styleId="Style12">
    <w:name w:val="見出しﾏｯﾌﾟ"/>
    <w:basedOn w:val="Normal"/>
    <w:qFormat/>
    <w:pPr>
      <w:shd w:fill="000080" w:val="clear"/>
    </w:pPr>
    <w:rPr>
      <w:rFonts w:ascii="Arial" w:hAnsi="Arial" w:eastAsia="ＭＳ ゴシック" w:cs="Arial"/>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Blank Document.dot</Template>
  <TotalTime>7928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2001-02-09T05:38:00Z</dcterms:created>
  <dc:creator/>
  <dc:description/>
  <dc:language>en-CA</dc:language>
  <cp:lastModifiedBy>IRJ PR Services</cp:lastModifiedBy>
  <cp:lastPrinted>2001-11-22T16:39:00Z</cp:lastPrinted>
  <dcterms:modified xsi:type="dcterms:W3CDTF">2001-11-22T05:39:00Z</dcterms:modified>
  <cp:revision>1389</cp:revision>
  <dc:subject/>
  <dc:title>Tokyo Electric Power Company Freeze construction of Power Plant </dc:title>
</cp:coreProperties>
</file>