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NIGEL S. PATTERSON</w:t>
      </w:r>
    </w:p>
    <w:p>
      <w:pPr>
        <w:pStyle w:val="Normal"/>
        <w:jc w:val="center"/>
        <w:rPr/>
      </w:pPr>
      <w:r>
        <w:rPr/>
        <w:t>1936 Wroxton Road</w:t>
        <w:br/>
        <w:t>Houston, TX 77005</w:t>
        <w:br/>
        <w:t>Phone: (713) 807 8345</w:t>
      </w:r>
    </w:p>
    <w:p>
      <w:pPr>
        <w:pStyle w:val="Normal"/>
        <w:rPr/>
      </w:pPr>
      <w:r>
        <w:rPr/>
      </w:r>
    </w:p>
    <w:p>
      <w:pPr>
        <w:pStyle w:val="Normal"/>
        <w:rPr/>
      </w:pPr>
      <w:r>
        <w:rPr/>
      </w:r>
    </w:p>
    <w:p>
      <w:pPr>
        <w:pStyle w:val="Normal"/>
        <w:rPr/>
      </w:pPr>
      <w:r>
        <w:rPr/>
      </w:r>
    </w:p>
    <w:p>
      <w:pPr>
        <w:pStyle w:val="Heading2"/>
        <w:ind w:hanging="0" w:start="0"/>
        <w:rPr>
          <w:b/>
        </w:rPr>
      </w:pPr>
      <w:r>
        <w:rPr>
          <w:b/>
        </w:rPr>
        <w:t>PROFESSIONAL EXPERIENCE</w:t>
      </w:r>
    </w:p>
    <w:p>
      <w:pPr>
        <w:pStyle w:val="Normal"/>
        <w:rPr>
          <w:b/>
        </w:rPr>
      </w:pPr>
      <w:r>
        <w:rPr>
          <w:b/>
        </w:rPr>
      </w:r>
    </w:p>
    <w:p>
      <w:pPr>
        <w:pStyle w:val="Normal"/>
        <w:rPr/>
      </w:pPr>
      <w:r>
        <w:rPr/>
      </w:r>
    </w:p>
    <w:tbl>
      <w:tblPr>
        <w:tblW w:w="9360" w:type="dxa"/>
        <w:jc w:val="start"/>
        <w:tblInd w:w="18" w:type="dxa"/>
        <w:tblLayout w:type="fixed"/>
        <w:tblCellMar>
          <w:top w:w="0" w:type="dxa"/>
          <w:start w:w="108" w:type="dxa"/>
          <w:bottom w:w="0" w:type="dxa"/>
          <w:end w:w="108" w:type="dxa"/>
        </w:tblCellMar>
      </w:tblPr>
      <w:tblGrid>
        <w:gridCol w:w="1908"/>
        <w:gridCol w:w="7452"/>
      </w:tblGrid>
      <w:tr>
        <w:trPr/>
        <w:tc>
          <w:tcPr>
            <w:tcW w:w="1908" w:type="dxa"/>
            <w:tcBorders/>
          </w:tcPr>
          <w:p>
            <w:pPr>
              <w:pStyle w:val="Normal"/>
              <w:rPr/>
            </w:pPr>
            <w:r>
              <w:rPr/>
              <w:t>1989</w:t>
            </w:r>
          </w:p>
        </w:tc>
        <w:tc>
          <w:tcPr>
            <w:tcW w:w="7452" w:type="dxa"/>
            <w:tcBorders/>
          </w:tcPr>
          <w:p>
            <w:pPr>
              <w:pStyle w:val="Normal"/>
              <w:rPr>
                <w:b/>
              </w:rPr>
            </w:pPr>
            <w:r>
              <w:rPr>
                <w:b/>
              </w:rPr>
              <w:t>BANKERS TRUST, CO./DEUTSCHE BANK, AG.</w:t>
            </w:r>
          </w:p>
        </w:tc>
      </w:tr>
      <w:tr>
        <w:trPr/>
        <w:tc>
          <w:tcPr>
            <w:tcW w:w="1908" w:type="dxa"/>
            <w:tcBorders/>
          </w:tcPr>
          <w:p>
            <w:pPr>
              <w:pStyle w:val="Normal"/>
              <w:rPr/>
            </w:pPr>
            <w:r>
              <w:rPr/>
              <w:t>to</w:t>
            </w:r>
          </w:p>
        </w:tc>
        <w:tc>
          <w:tcPr>
            <w:tcW w:w="7452" w:type="dxa"/>
            <w:tcBorders/>
          </w:tcPr>
          <w:p>
            <w:pPr>
              <w:pStyle w:val="Normal"/>
              <w:snapToGrid w:val="false"/>
              <w:rPr/>
            </w:pPr>
            <w:r>
              <w:rPr/>
            </w:r>
          </w:p>
        </w:tc>
      </w:tr>
      <w:tr>
        <w:trPr/>
        <w:tc>
          <w:tcPr>
            <w:tcW w:w="1908" w:type="dxa"/>
            <w:tcBorders/>
          </w:tcPr>
          <w:p>
            <w:pPr>
              <w:pStyle w:val="Normal"/>
              <w:rPr/>
            </w:pPr>
            <w:r>
              <w:rPr/>
              <w:t>Present</w:t>
            </w:r>
          </w:p>
        </w:tc>
        <w:tc>
          <w:tcPr>
            <w:tcW w:w="7452" w:type="dxa"/>
            <w:tcBorders/>
          </w:tcPr>
          <w:p>
            <w:pPr>
              <w:pStyle w:val="Normal"/>
              <w:rPr>
                <w:u w:val="single"/>
              </w:rPr>
            </w:pPr>
            <w:r>
              <w:rPr>
                <w:u w:val="single"/>
              </w:rPr>
              <w:t>Vice President, Energy Risk Management – Houston, TX (1996 – Present)</w:t>
            </w:r>
          </w:p>
        </w:tc>
      </w:tr>
      <w:tr>
        <w:trPr/>
        <w:tc>
          <w:tcPr>
            <w:tcW w:w="1908" w:type="dxa"/>
            <w:tcBorders/>
          </w:tcPr>
          <w:p>
            <w:pPr>
              <w:pStyle w:val="BodyText"/>
              <w:snapToGrid w:val="false"/>
              <w:rPr>
                <w:u w:val="single"/>
              </w:rPr>
            </w:pPr>
            <w:r>
              <w:rPr>
                <w:u w:val="single"/>
              </w:rPr>
            </w:r>
          </w:p>
        </w:tc>
        <w:tc>
          <w:tcPr>
            <w:tcW w:w="7452" w:type="dxa"/>
            <w:tcBorders/>
          </w:tcPr>
          <w:p>
            <w:pPr>
              <w:pStyle w:val="BodyText"/>
              <w:rPr/>
            </w:pPr>
            <w:r>
              <w:rPr/>
              <w:t>Senior Natural Gas Book Trader, fixed price &amp; options (financial only), manage interest rate and foreign currency risk for Global Energy Group.  Supervise junior traders risk limits &amp; position taking.  Structuring and pricing of energy linked derivatives for corporate finance activities.  Provide daily market comment &amp; technical analysis to marketers.  Management of a core group of transactional customer relationships and provide hedging strategies.  Intercontinental Exchange trading platform design team representative.</w:t>
            </w:r>
          </w:p>
        </w:tc>
      </w:tr>
      <w:tr>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BodyText"/>
              <w:snapToGrid w:val="false"/>
              <w:rPr>
                <w:u w:val="single"/>
              </w:rPr>
            </w:pPr>
            <w:r>
              <w:rPr>
                <w:u w:val="single"/>
              </w:rPr>
            </w:r>
          </w:p>
        </w:tc>
        <w:tc>
          <w:tcPr>
            <w:tcW w:w="7452" w:type="dxa"/>
            <w:tcBorders/>
          </w:tcPr>
          <w:p>
            <w:pPr>
              <w:pStyle w:val="BodyText"/>
              <w:rPr>
                <w:u w:val="single"/>
              </w:rPr>
            </w:pPr>
            <w:r>
              <w:rPr>
                <w:u w:val="single"/>
              </w:rPr>
              <w:t>Assistant Vice President, Energy Risk Management – New York City, NY (1992 – 1996)</w:t>
            </w:r>
          </w:p>
        </w:tc>
      </w:tr>
      <w:tr>
        <w:trPr/>
        <w:tc>
          <w:tcPr>
            <w:tcW w:w="1908" w:type="dxa"/>
            <w:tcBorders/>
          </w:tcPr>
          <w:p>
            <w:pPr>
              <w:pStyle w:val="BodyText"/>
              <w:snapToGrid w:val="false"/>
              <w:rPr>
                <w:u w:val="single"/>
              </w:rPr>
            </w:pPr>
            <w:r>
              <w:rPr>
                <w:u w:val="single"/>
              </w:rPr>
            </w:r>
          </w:p>
        </w:tc>
        <w:tc>
          <w:tcPr>
            <w:tcW w:w="7452" w:type="dxa"/>
            <w:tcBorders/>
          </w:tcPr>
          <w:p>
            <w:pPr>
              <w:pStyle w:val="BodyText"/>
              <w:rPr/>
            </w:pPr>
            <w:r>
              <w:rPr/>
              <w:t xml:space="preserve">Fixed Price Book Runner for North American Products and natural gas options.  Provided marketing assistance and structured products pricing to the corporate sales group.  Management of New York energy groups foreign exchange &amp; interest rate risk.  Developed and implemented next generation risk management system for derivative products group.  Established internal risk controls and procedures for trading processing.  </w:t>
            </w:r>
          </w:p>
        </w:tc>
      </w:tr>
      <w:tr>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BodyText"/>
              <w:snapToGrid w:val="false"/>
              <w:rPr>
                <w:u w:val="single"/>
              </w:rPr>
            </w:pPr>
            <w:r>
              <w:rPr>
                <w:u w:val="single"/>
              </w:rPr>
            </w:r>
          </w:p>
        </w:tc>
        <w:tc>
          <w:tcPr>
            <w:tcW w:w="7452" w:type="dxa"/>
            <w:tcBorders/>
          </w:tcPr>
          <w:p>
            <w:pPr>
              <w:pStyle w:val="BodyText"/>
              <w:rPr>
                <w:u w:val="single"/>
              </w:rPr>
            </w:pPr>
            <w:r>
              <w:rPr>
                <w:u w:val="single"/>
              </w:rPr>
              <w:t>Associate, Energy Risk Management – London, England (1989 – 1992)</w:t>
            </w:r>
          </w:p>
        </w:tc>
      </w:tr>
      <w:tr>
        <w:trPr/>
        <w:tc>
          <w:tcPr>
            <w:tcW w:w="1908" w:type="dxa"/>
            <w:tcBorders/>
          </w:tcPr>
          <w:p>
            <w:pPr>
              <w:pStyle w:val="BodyText"/>
              <w:snapToGrid w:val="false"/>
              <w:rPr>
                <w:u w:val="single"/>
              </w:rPr>
            </w:pPr>
            <w:r>
              <w:rPr>
                <w:u w:val="single"/>
              </w:rPr>
            </w:r>
          </w:p>
        </w:tc>
        <w:tc>
          <w:tcPr>
            <w:tcW w:w="7452" w:type="dxa"/>
            <w:tcBorders/>
          </w:tcPr>
          <w:p>
            <w:pPr>
              <w:pStyle w:val="BodyText"/>
              <w:rPr/>
            </w:pPr>
            <w:r>
              <w:rPr/>
              <w:t>Risk management system design and implementation for the Commodity Derivatives Group.  Swap and options pricing including trade execution for book runners.  Production of daily profit and loss reports for management.  Developed standard operating procedures for back office, training Operations Personnel in energy &amp; precious metals exotic products.</w:t>
            </w:r>
          </w:p>
        </w:tc>
      </w:tr>
      <w:tr>
        <w:trPr>
          <w:trHeight w:val="378" w:hRule="atLeast"/>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Heading2"/>
              <w:ind w:hanging="0" w:start="0"/>
              <w:jc w:val="start"/>
              <w:rPr>
                <w:u w:val="none"/>
              </w:rPr>
            </w:pPr>
            <w:r>
              <w:rPr>
                <w:u w:val="none"/>
              </w:rPr>
              <w:t>1987</w:t>
            </w:r>
          </w:p>
        </w:tc>
        <w:tc>
          <w:tcPr>
            <w:tcW w:w="7452" w:type="dxa"/>
            <w:tcBorders/>
          </w:tcPr>
          <w:p>
            <w:pPr>
              <w:pStyle w:val="Normal"/>
              <w:rPr>
                <w:b/>
              </w:rPr>
            </w:pPr>
            <w:r>
              <w:rPr>
                <w:b/>
              </w:rPr>
              <w:t>BANK OF NEW ZEALAND, LTD.</w:t>
            </w:r>
          </w:p>
        </w:tc>
      </w:tr>
      <w:tr>
        <w:trPr/>
        <w:tc>
          <w:tcPr>
            <w:tcW w:w="1908" w:type="dxa"/>
            <w:tcBorders/>
          </w:tcPr>
          <w:p>
            <w:pPr>
              <w:pStyle w:val="BodyText"/>
              <w:jc w:val="start"/>
              <w:rPr/>
            </w:pPr>
            <w:r>
              <w:rPr/>
              <w:t>to</w:t>
            </w:r>
          </w:p>
        </w:tc>
        <w:tc>
          <w:tcPr>
            <w:tcW w:w="7452" w:type="dxa"/>
            <w:tcBorders/>
          </w:tcPr>
          <w:p>
            <w:pPr>
              <w:pStyle w:val="Normal"/>
              <w:snapToGrid w:val="false"/>
              <w:rPr/>
            </w:pPr>
            <w:r>
              <w:rPr/>
            </w:r>
          </w:p>
        </w:tc>
      </w:tr>
      <w:tr>
        <w:trPr/>
        <w:tc>
          <w:tcPr>
            <w:tcW w:w="1908" w:type="dxa"/>
            <w:tcBorders/>
          </w:tcPr>
          <w:p>
            <w:pPr>
              <w:pStyle w:val="BodyText"/>
              <w:jc w:val="start"/>
              <w:rPr/>
            </w:pPr>
            <w:r>
              <w:rPr/>
              <w:t>1989</w:t>
            </w:r>
          </w:p>
        </w:tc>
        <w:tc>
          <w:tcPr>
            <w:tcW w:w="7452" w:type="dxa"/>
            <w:tcBorders/>
          </w:tcPr>
          <w:p>
            <w:pPr>
              <w:pStyle w:val="Normal"/>
              <w:rPr>
                <w:u w:val="single"/>
              </w:rPr>
            </w:pPr>
            <w:r>
              <w:rPr>
                <w:u w:val="single"/>
              </w:rPr>
              <w:t>Foreign Exchange Assistant Wellington New Zealand</w:t>
            </w:r>
          </w:p>
        </w:tc>
      </w:tr>
      <w:tr>
        <w:trPr/>
        <w:tc>
          <w:tcPr>
            <w:tcW w:w="1908" w:type="dxa"/>
            <w:tcBorders/>
          </w:tcPr>
          <w:p>
            <w:pPr>
              <w:pStyle w:val="BodyText"/>
              <w:snapToGrid w:val="false"/>
              <w:rPr>
                <w:u w:val="single"/>
              </w:rPr>
            </w:pPr>
            <w:r>
              <w:rPr>
                <w:u w:val="single"/>
              </w:rPr>
            </w:r>
          </w:p>
        </w:tc>
        <w:tc>
          <w:tcPr>
            <w:tcW w:w="7452" w:type="dxa"/>
            <w:tcBorders/>
          </w:tcPr>
          <w:p>
            <w:pPr>
              <w:pStyle w:val="BodyText"/>
              <w:rPr/>
            </w:pPr>
            <w:r>
              <w:rPr/>
              <w:t>Trade support, position keeping for spot/forward currency market makers, reconciliation of foreign exchange transactions, daily funding of banks foreign currency accounts in support of retail banking transactions.  Developed automatic confirmation system for clearing foreign exchange trades.</w:t>
            </w:r>
          </w:p>
        </w:tc>
      </w:tr>
      <w:tr>
        <w:trPr>
          <w:trHeight w:val="765" w:hRule="atLeast"/>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BodyText"/>
              <w:snapToGrid w:val="false"/>
              <w:rPr/>
            </w:pPr>
            <w:r>
              <w:rPr/>
            </w:r>
          </w:p>
        </w:tc>
        <w:tc>
          <w:tcPr>
            <w:tcW w:w="7452" w:type="dxa"/>
            <w:tcBorders/>
          </w:tcPr>
          <w:p>
            <w:pPr>
              <w:pStyle w:val="BodyText"/>
              <w:snapToGrid w:val="false"/>
              <w:rPr/>
            </w:pPr>
            <w:r>
              <w:rPr/>
            </w:r>
          </w:p>
        </w:tc>
      </w:tr>
      <w:tr>
        <w:trPr/>
        <w:tc>
          <w:tcPr>
            <w:tcW w:w="1908" w:type="dxa"/>
            <w:tcBorders/>
          </w:tcPr>
          <w:p>
            <w:pPr>
              <w:pStyle w:val="Heading2"/>
              <w:snapToGrid w:val="false"/>
              <w:ind w:hanging="0" w:start="0"/>
              <w:jc w:val="start"/>
              <w:rPr>
                <w:u w:val="none"/>
              </w:rPr>
            </w:pPr>
            <w:r>
              <w:rPr>
                <w:u w:val="none"/>
              </w:rPr>
            </w:r>
          </w:p>
        </w:tc>
        <w:tc>
          <w:tcPr>
            <w:tcW w:w="7452" w:type="dxa"/>
            <w:tcBorders/>
          </w:tcPr>
          <w:p>
            <w:pPr>
              <w:pStyle w:val="Heading2"/>
              <w:ind w:hanging="0" w:start="0"/>
              <w:rPr>
                <w:b/>
              </w:rPr>
            </w:pPr>
            <w:r>
              <w:rPr>
                <w:b/>
              </w:rPr>
              <w:t>EDUCATION</w:t>
            </w:r>
          </w:p>
        </w:tc>
      </w:tr>
      <w:tr>
        <w:trPr/>
        <w:tc>
          <w:tcPr>
            <w:tcW w:w="1908" w:type="dxa"/>
            <w:tcBorders/>
          </w:tcPr>
          <w:p>
            <w:pPr>
              <w:pStyle w:val="BodyText"/>
              <w:snapToGrid w:val="false"/>
              <w:jc w:val="start"/>
              <w:rPr>
                <w:b/>
                <w:u w:val="single"/>
              </w:rPr>
            </w:pPr>
            <w:r>
              <w:rPr>
                <w:b/>
                <w:u w:val="single"/>
              </w:rPr>
            </w:r>
          </w:p>
        </w:tc>
        <w:tc>
          <w:tcPr>
            <w:tcW w:w="7452" w:type="dxa"/>
            <w:tcBorders/>
          </w:tcPr>
          <w:p>
            <w:pPr>
              <w:pStyle w:val="BodyText"/>
              <w:snapToGrid w:val="false"/>
              <w:rPr/>
            </w:pPr>
            <w:r>
              <w:rPr/>
            </w:r>
          </w:p>
        </w:tc>
      </w:tr>
      <w:tr>
        <w:trPr/>
        <w:tc>
          <w:tcPr>
            <w:tcW w:w="1908" w:type="dxa"/>
            <w:tcBorders/>
          </w:tcPr>
          <w:p>
            <w:pPr>
              <w:pStyle w:val="BodyText"/>
              <w:snapToGrid w:val="false"/>
              <w:jc w:val="start"/>
              <w:rPr/>
            </w:pPr>
            <w:r>
              <w:rPr/>
            </w:r>
          </w:p>
        </w:tc>
        <w:tc>
          <w:tcPr>
            <w:tcW w:w="7452" w:type="dxa"/>
            <w:tcBorders/>
          </w:tcPr>
          <w:p>
            <w:pPr>
              <w:pStyle w:val="BodyText"/>
              <w:rPr/>
            </w:pPr>
            <w:r>
              <w:rPr/>
              <w:t xml:space="preserve">B.S. </w:t>
              <w:tab/>
              <w:t>Victoria University of Wellington, New Zealand 1987</w:t>
            </w:r>
          </w:p>
        </w:tc>
      </w:tr>
      <w:tr>
        <w:trPr/>
        <w:tc>
          <w:tcPr>
            <w:tcW w:w="1908" w:type="dxa"/>
            <w:tcBorders/>
          </w:tcPr>
          <w:p>
            <w:pPr>
              <w:pStyle w:val="BodyText"/>
              <w:snapToGrid w:val="false"/>
              <w:jc w:val="start"/>
              <w:rPr/>
            </w:pPr>
            <w:r>
              <w:rPr/>
            </w:r>
          </w:p>
        </w:tc>
        <w:tc>
          <w:tcPr>
            <w:tcW w:w="7452" w:type="dxa"/>
            <w:tcBorders/>
          </w:tcPr>
          <w:p>
            <w:pPr>
              <w:pStyle w:val="BodyText"/>
              <w:rPr/>
            </w:pPr>
            <w:r>
              <w:rPr/>
              <w:t>Major:</w:t>
              <w:tab/>
              <w:t>Mathematics, Operations Research</w:t>
            </w:r>
          </w:p>
        </w:tc>
      </w:tr>
    </w:tbl>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2000-09-28T14:17:00Z</dcterms:created>
  <dc:creator>Kim Hillis-Humlicek</dc:creator>
  <dc:description/>
  <dc:language>en-CA</dc:language>
  <cp:lastModifiedBy>Kim Hillis-Humlicek</cp:lastModifiedBy>
  <cp:lastPrinted>2000-09-29T09:16:00Z</cp:lastPrinted>
  <dcterms:modified xsi:type="dcterms:W3CDTF">2000-09-29T11:47:00Z</dcterms:modified>
  <cp:revision>2</cp:revision>
  <dc:subject/>
  <dc:title>NIGEL S</dc:title>
</cp:coreProperties>
</file>