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sz w:val="26"/>
        </w:rPr>
      </w:pPr>
      <w:r>
        <w:rPr>
          <w:rFonts w:cs="Arial" w:ascii="Arial" w:hAnsi="Arial"/>
          <w:sz w:val="26"/>
        </w:rPr>
        <w:t>NICOR LOI Outline</w:t>
      </w:r>
    </w:p>
    <w:p>
      <w:pPr>
        <w:pStyle w:val="Normal"/>
        <w:spacing w:before="20" w:after="0"/>
        <w:rPr>
          <w:rFonts w:ascii="Arial" w:hAnsi="Arial" w:cs="Arial"/>
          <w:sz w:val="20"/>
        </w:rPr>
      </w:pPr>
      <w:r>
        <w:rPr>
          <w:rFonts w:cs="Arial" w:ascii="Arial" w:hAnsi="Arial"/>
          <w:sz w:val="20"/>
        </w:rPr>
      </w:r>
    </w:p>
    <w:p>
      <w:pPr>
        <w:pStyle w:val="Normal"/>
        <w:numPr>
          <w:ilvl w:val="0"/>
          <w:numId w:val="3"/>
        </w:numPr>
        <w:spacing w:before="20" w:after="20"/>
        <w:rPr>
          <w:rFonts w:ascii="Arial" w:hAnsi="Arial" w:cs="Arial"/>
          <w:sz w:val="20"/>
        </w:rPr>
      </w:pPr>
      <w:r>
        <w:rPr>
          <w:rFonts w:cs="Arial" w:ascii="Arial" w:hAnsi="Arial"/>
          <w:b/>
          <w:bCs/>
          <w:sz w:val="20"/>
        </w:rPr>
        <w:t>Parties</w:t>
      </w:r>
      <w:r>
        <w:rPr>
          <w:rFonts w:cs="Arial" w:ascii="Arial" w:hAnsi="Arial"/>
          <w:sz w:val="20"/>
        </w:rPr>
        <w:t xml:space="preserve"> – Enron Compression Services Company (ECS) and NICOR, Inc. (NICOR)</w:t>
      </w:r>
    </w:p>
    <w:p>
      <w:pPr>
        <w:pStyle w:val="Normal"/>
        <w:numPr>
          <w:ilvl w:val="0"/>
          <w:numId w:val="3"/>
        </w:numPr>
        <w:spacing w:before="20" w:after="20"/>
        <w:rPr>
          <w:rFonts w:ascii="Arial" w:hAnsi="Arial" w:cs="Arial"/>
          <w:sz w:val="20"/>
        </w:rPr>
      </w:pPr>
      <w:r>
        <w:rPr>
          <w:rFonts w:cs="Arial" w:ascii="Arial" w:hAnsi="Arial"/>
          <w:b/>
          <w:bCs/>
          <w:sz w:val="20"/>
        </w:rPr>
        <w:t>Product/Service</w:t>
      </w:r>
      <w:r>
        <w:rPr>
          <w:rFonts w:cs="Arial" w:ascii="Arial" w:hAnsi="Arial"/>
          <w:sz w:val="20"/>
        </w:rPr>
        <w:t xml:space="preserve"> – 52,000 HP Electric compression</w:t>
      </w:r>
    </w:p>
    <w:p>
      <w:pPr>
        <w:pStyle w:val="Normal"/>
        <w:numPr>
          <w:ilvl w:val="0"/>
          <w:numId w:val="3"/>
        </w:numPr>
        <w:spacing w:before="20" w:after="20"/>
        <w:rPr>
          <w:rFonts w:ascii="Arial" w:hAnsi="Arial" w:cs="Arial"/>
          <w:sz w:val="20"/>
        </w:rPr>
      </w:pPr>
      <w:r>
        <w:rPr>
          <w:rFonts w:cs="Arial" w:ascii="Arial" w:hAnsi="Arial"/>
          <w:b/>
          <w:bCs/>
          <w:sz w:val="20"/>
        </w:rPr>
        <w:t>Location</w:t>
      </w:r>
      <w:r>
        <w:rPr>
          <w:rFonts w:cs="Arial" w:ascii="Arial" w:hAnsi="Arial"/>
          <w:sz w:val="20"/>
        </w:rPr>
        <w:t xml:space="preserve"> – NICOR’s Troy Grove storage facility in Troy Grove, Illinois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2"/>
        <w:ind w:hanging="0" w:start="0"/>
        <w:rPr>
          <w:rFonts w:ascii="Arial" w:hAnsi="Arial" w:cs="Arial"/>
          <w:b/>
          <w:bCs/>
        </w:rPr>
      </w:pPr>
      <w:r>
        <w:rPr>
          <w:rFonts w:cs="Arial" w:ascii="Arial" w:hAnsi="Arial"/>
          <w:b/>
          <w:bCs/>
        </w:rPr>
        <w:t>Article I:  Non-Binding Commercial Terms</w:t>
      </w:r>
    </w:p>
    <w:p>
      <w:pPr>
        <w:pStyle w:val="Normal"/>
        <w:rPr>
          <w:rFonts w:ascii="Arial" w:hAnsi="Arial" w:cs="Arial"/>
          <w:b/>
          <w:bCs/>
          <w:sz w:val="20"/>
        </w:rPr>
      </w:pPr>
      <w:r>
        <w:rPr>
          <w:rFonts w:cs="Arial" w:ascii="Arial" w:hAnsi="Arial"/>
          <w:b/>
          <w:bCs/>
          <w:sz w:val="20"/>
        </w:rPr>
      </w:r>
    </w:p>
    <w:p>
      <w:pPr>
        <w:pStyle w:val="Normal"/>
        <w:numPr>
          <w:ilvl w:val="0"/>
          <w:numId w:val="2"/>
        </w:numPr>
        <w:spacing w:before="60" w:after="20"/>
        <w:rPr>
          <w:rFonts w:ascii="Arial" w:hAnsi="Arial" w:cs="Arial"/>
          <w:sz w:val="20"/>
        </w:rPr>
      </w:pPr>
      <w:r>
        <w:rPr>
          <w:rFonts w:cs="Arial" w:ascii="Arial" w:hAnsi="Arial"/>
          <w:b/>
          <w:bCs/>
          <w:sz w:val="20"/>
        </w:rPr>
        <w:t>Definitive Agreements</w:t>
      </w:r>
      <w:r>
        <w:rPr>
          <w:rFonts w:cs="Arial" w:ascii="Arial" w:hAnsi="Arial"/>
          <w:sz w:val="20"/>
        </w:rPr>
        <w:t xml:space="preserve"> – Between NICOR and ECS</w:t>
      </w:r>
    </w:p>
    <w:p>
      <w:pPr>
        <w:pStyle w:val="Normal"/>
        <w:numPr>
          <w:ilvl w:val="0"/>
          <w:numId w:val="8"/>
        </w:numPr>
        <w:spacing w:before="60" w:after="20"/>
        <w:rPr>
          <w:rFonts w:ascii="Arial" w:hAnsi="Arial" w:cs="Arial"/>
          <w:sz w:val="20"/>
        </w:rPr>
      </w:pPr>
      <w:r>
        <w:rPr>
          <w:rFonts w:cs="Arial" w:ascii="Arial" w:hAnsi="Arial"/>
          <w:sz w:val="20"/>
        </w:rPr>
        <w:t>Compression Services Agreement</w:t>
      </w:r>
    </w:p>
    <w:p>
      <w:pPr>
        <w:pStyle w:val="Normal"/>
        <w:numPr>
          <w:ilvl w:val="0"/>
          <w:numId w:val="8"/>
        </w:numPr>
        <w:spacing w:before="60" w:after="20"/>
        <w:rPr>
          <w:rFonts w:ascii="Arial" w:hAnsi="Arial" w:cs="Arial"/>
          <w:sz w:val="20"/>
        </w:rPr>
      </w:pPr>
      <w:r>
        <w:rPr>
          <w:rFonts w:cs="Arial" w:ascii="Arial" w:hAnsi="Arial"/>
          <w:sz w:val="20"/>
        </w:rPr>
        <w:t>Power Purchase Agreements (PPA)</w:t>
      </w:r>
    </w:p>
    <w:p>
      <w:pPr>
        <w:pStyle w:val="Normal"/>
        <w:numPr>
          <w:ilvl w:val="1"/>
          <w:numId w:val="8"/>
        </w:numPr>
        <w:spacing w:before="60" w:after="20"/>
        <w:rPr>
          <w:rFonts w:ascii="Arial" w:hAnsi="Arial" w:cs="Arial"/>
          <w:sz w:val="20"/>
        </w:rPr>
      </w:pPr>
      <w:r>
        <w:rPr>
          <w:rFonts w:cs="Arial" w:ascii="Arial" w:hAnsi="Arial"/>
          <w:sz w:val="20"/>
        </w:rPr>
        <w:t xml:space="preserve">Wholesale PPA with Enron </w:t>
      </w:r>
    </w:p>
    <w:p>
      <w:pPr>
        <w:pStyle w:val="Normal"/>
        <w:numPr>
          <w:ilvl w:val="1"/>
          <w:numId w:val="8"/>
        </w:numPr>
        <w:spacing w:before="60" w:after="20"/>
        <w:rPr>
          <w:rFonts w:ascii="Arial" w:hAnsi="Arial" w:cs="Arial"/>
          <w:sz w:val="20"/>
        </w:rPr>
      </w:pPr>
      <w:r>
        <w:rPr>
          <w:rFonts w:cs="Arial" w:ascii="Arial" w:hAnsi="Arial"/>
          <w:sz w:val="20"/>
        </w:rPr>
        <w:t>Retail PPA, to be assigned, with IL Power</w:t>
      </w:r>
    </w:p>
    <w:p>
      <w:pPr>
        <w:pStyle w:val="Normal"/>
        <w:numPr>
          <w:ilvl w:val="0"/>
          <w:numId w:val="8"/>
        </w:numPr>
        <w:spacing w:before="60" w:after="20"/>
        <w:rPr>
          <w:rFonts w:ascii="Arial" w:hAnsi="Arial" w:cs="Arial"/>
          <w:sz w:val="20"/>
        </w:rPr>
      </w:pPr>
      <w:r>
        <w:rPr>
          <w:rFonts w:cs="Arial" w:ascii="Arial" w:hAnsi="Arial"/>
          <w:sz w:val="20"/>
        </w:rPr>
        <w:t>Maintenance Agreement</w:t>
      </w:r>
    </w:p>
    <w:p>
      <w:pPr>
        <w:pStyle w:val="Normal"/>
        <w:numPr>
          <w:ilvl w:val="0"/>
          <w:numId w:val="2"/>
        </w:numPr>
        <w:spacing w:before="60" w:after="20"/>
        <w:rPr>
          <w:rFonts w:ascii="Arial" w:hAnsi="Arial" w:cs="Arial"/>
          <w:sz w:val="20"/>
        </w:rPr>
      </w:pPr>
      <w:r>
        <w:rPr>
          <w:rFonts w:cs="Arial" w:ascii="Arial" w:hAnsi="Arial"/>
          <w:b/>
          <w:bCs/>
          <w:sz w:val="20"/>
        </w:rPr>
        <w:t>Pricing Changes</w:t>
      </w:r>
      <w:r>
        <w:rPr>
          <w:rFonts w:cs="Arial" w:ascii="Arial" w:hAnsi="Arial"/>
          <w:sz w:val="20"/>
        </w:rPr>
        <w:t xml:space="preserve"> – LOI terms subject to change as underlying prices change until definitive agreements are executed.  Underlying prices include the following:</w:t>
      </w:r>
    </w:p>
    <w:p>
      <w:pPr>
        <w:pStyle w:val="Normal"/>
        <w:numPr>
          <w:ilvl w:val="0"/>
          <w:numId w:val="4"/>
        </w:numPr>
        <w:spacing w:before="60" w:after="20"/>
        <w:rPr>
          <w:rFonts w:ascii="Arial" w:hAnsi="Arial" w:cs="Arial"/>
          <w:sz w:val="20"/>
        </w:rPr>
      </w:pPr>
      <w:r>
        <w:rPr>
          <w:rFonts w:cs="Arial" w:ascii="Arial" w:hAnsi="Arial"/>
          <w:sz w:val="20"/>
        </w:rPr>
        <w:t>Wholesale power including options</w:t>
      </w:r>
    </w:p>
    <w:p>
      <w:pPr>
        <w:pStyle w:val="Normal"/>
        <w:numPr>
          <w:ilvl w:val="0"/>
          <w:numId w:val="4"/>
        </w:numPr>
        <w:spacing w:before="60" w:after="20"/>
        <w:rPr>
          <w:rFonts w:ascii="Arial" w:hAnsi="Arial" w:cs="Arial"/>
          <w:sz w:val="20"/>
        </w:rPr>
      </w:pPr>
      <w:r>
        <w:rPr>
          <w:rFonts w:cs="Arial" w:ascii="Arial" w:hAnsi="Arial"/>
          <w:sz w:val="20"/>
        </w:rPr>
        <w:t>Retail power</w:t>
      </w:r>
    </w:p>
    <w:p>
      <w:pPr>
        <w:pStyle w:val="Normal"/>
        <w:numPr>
          <w:ilvl w:val="0"/>
          <w:numId w:val="4"/>
        </w:numPr>
        <w:spacing w:before="60" w:after="20"/>
        <w:rPr>
          <w:rFonts w:ascii="Arial" w:hAnsi="Arial" w:cs="Arial"/>
          <w:sz w:val="20"/>
        </w:rPr>
      </w:pPr>
      <w:r>
        <w:rPr>
          <w:rFonts w:cs="Arial" w:ascii="Arial" w:hAnsi="Arial"/>
          <w:sz w:val="20"/>
        </w:rPr>
        <w:t xml:space="preserve">Electric motor driven horsepower equipment capital </w:t>
      </w:r>
    </w:p>
    <w:p>
      <w:pPr>
        <w:pStyle w:val="Normal"/>
        <w:numPr>
          <w:ilvl w:val="0"/>
          <w:numId w:val="4"/>
        </w:numPr>
        <w:spacing w:before="60" w:after="20"/>
        <w:rPr>
          <w:rFonts w:ascii="Arial" w:hAnsi="Arial" w:cs="Arial"/>
          <w:sz w:val="20"/>
        </w:rPr>
      </w:pPr>
      <w:r>
        <w:rPr>
          <w:rFonts w:cs="Arial" w:ascii="Arial" w:hAnsi="Arial"/>
          <w:sz w:val="20"/>
        </w:rPr>
        <w:t>Capital financing rates</w:t>
      </w:r>
    </w:p>
    <w:p>
      <w:pPr>
        <w:pStyle w:val="Normal"/>
        <w:numPr>
          <w:ilvl w:val="0"/>
          <w:numId w:val="2"/>
        </w:numPr>
        <w:spacing w:before="60" w:after="20"/>
        <w:rPr>
          <w:rFonts w:ascii="Arial" w:hAnsi="Arial" w:cs="Arial"/>
          <w:sz w:val="20"/>
        </w:rPr>
      </w:pPr>
      <w:r>
        <w:rPr>
          <w:rFonts w:cs="Arial" w:ascii="Arial" w:hAnsi="Arial"/>
          <w:b/>
          <w:bCs/>
          <w:sz w:val="20"/>
        </w:rPr>
        <w:t>Payment Structure</w:t>
      </w:r>
      <w:r>
        <w:rPr>
          <w:rFonts w:cs="Arial" w:ascii="Arial" w:hAnsi="Arial"/>
          <w:sz w:val="20"/>
        </w:rPr>
        <w:t xml:space="preserve"> – 100% Cash payable monthly; Combination of an “Annual Charge”, a “Firm Generation Charge”, and “Variable Charges”.  Refer to Sections 10-12 for more details.</w:t>
      </w:r>
    </w:p>
    <w:p>
      <w:pPr>
        <w:pStyle w:val="Normal"/>
        <w:numPr>
          <w:ilvl w:val="0"/>
          <w:numId w:val="2"/>
        </w:numPr>
        <w:spacing w:before="60" w:after="20"/>
        <w:rPr>
          <w:rFonts w:ascii="Arial" w:hAnsi="Arial" w:cs="Arial"/>
          <w:sz w:val="20"/>
        </w:rPr>
      </w:pPr>
      <w:r>
        <w:rPr>
          <w:rFonts w:cs="Arial" w:ascii="Arial" w:hAnsi="Arial"/>
          <w:b/>
          <w:bCs/>
          <w:sz w:val="20"/>
        </w:rPr>
        <w:t>Capital Expenditures</w:t>
      </w:r>
      <w:r>
        <w:rPr>
          <w:rFonts w:cs="Arial" w:ascii="Arial" w:hAnsi="Arial"/>
          <w:sz w:val="20"/>
        </w:rPr>
        <w:t xml:space="preserve"> – For the purchase and installation of:</w:t>
      </w:r>
    </w:p>
    <w:p>
      <w:pPr>
        <w:pStyle w:val="Normal"/>
        <w:numPr>
          <w:ilvl w:val="0"/>
          <w:numId w:val="5"/>
        </w:numPr>
        <w:spacing w:before="60" w:after="20"/>
        <w:jc w:val="both"/>
        <w:rPr>
          <w:rFonts w:ascii="Arial" w:hAnsi="Arial" w:cs="Arial"/>
          <w:sz w:val="20"/>
        </w:rPr>
      </w:pPr>
      <w:r>
        <w:rPr>
          <w:rFonts w:cs="Arial" w:ascii="Arial" w:hAnsi="Arial"/>
          <w:sz w:val="20"/>
        </w:rPr>
        <w:t>Five (5) 10,000 horsepower electric motor driven reciprocating compressors (withdrawal);</w:t>
      </w:r>
    </w:p>
    <w:p>
      <w:pPr>
        <w:pStyle w:val="Normal"/>
        <w:numPr>
          <w:ilvl w:val="0"/>
          <w:numId w:val="5"/>
        </w:numPr>
        <w:spacing w:before="60" w:after="20"/>
        <w:jc w:val="both"/>
        <w:rPr>
          <w:rFonts w:ascii="Arial" w:hAnsi="Arial" w:cs="Arial"/>
          <w:sz w:val="20"/>
        </w:rPr>
      </w:pPr>
      <w:r>
        <w:rPr>
          <w:rFonts w:cs="Arial" w:ascii="Arial" w:hAnsi="Arial"/>
          <w:sz w:val="20"/>
        </w:rPr>
        <w:t>Two (2) 1,000 horsepower electric motor driven reciprocating compressors (injection);</w:t>
      </w:r>
    </w:p>
    <w:p>
      <w:pPr>
        <w:pStyle w:val="Normal"/>
        <w:numPr>
          <w:ilvl w:val="0"/>
          <w:numId w:val="5"/>
        </w:numPr>
        <w:spacing w:before="60" w:after="20"/>
        <w:jc w:val="both"/>
        <w:rPr>
          <w:rFonts w:ascii="Arial" w:hAnsi="Arial" w:cs="Arial"/>
          <w:sz w:val="20"/>
        </w:rPr>
      </w:pPr>
      <w:r>
        <w:rPr>
          <w:rFonts w:cs="Arial" w:ascii="Arial" w:hAnsi="Arial"/>
          <w:sz w:val="20"/>
        </w:rPr>
        <w:t>A compressor building;</w:t>
      </w:r>
    </w:p>
    <w:p>
      <w:pPr>
        <w:pStyle w:val="Normal"/>
        <w:numPr>
          <w:ilvl w:val="0"/>
          <w:numId w:val="5"/>
        </w:numPr>
        <w:spacing w:before="60" w:after="20"/>
        <w:jc w:val="both"/>
        <w:rPr>
          <w:rFonts w:ascii="Arial" w:hAnsi="Arial" w:cs="Arial"/>
          <w:sz w:val="20"/>
        </w:rPr>
      </w:pPr>
      <w:r>
        <w:rPr>
          <w:rFonts w:cs="Arial" w:ascii="Arial" w:hAnsi="Arial"/>
          <w:sz w:val="20"/>
        </w:rPr>
        <w:t>A control building and motor control center;</w:t>
      </w:r>
    </w:p>
    <w:p>
      <w:pPr>
        <w:pStyle w:val="Normal"/>
        <w:numPr>
          <w:ilvl w:val="0"/>
          <w:numId w:val="5"/>
        </w:numPr>
        <w:spacing w:before="60" w:after="20"/>
        <w:jc w:val="both"/>
        <w:rPr>
          <w:rFonts w:ascii="Arial" w:hAnsi="Arial" w:cs="Arial"/>
          <w:sz w:val="20"/>
        </w:rPr>
      </w:pPr>
      <w:r>
        <w:rPr>
          <w:rFonts w:cs="Arial" w:ascii="Arial" w:hAnsi="Arial"/>
          <w:sz w:val="20"/>
        </w:rPr>
        <w:t>Two (2) 10,000 horsepower variable frequency drives with starting, speed and load sharing controls;</w:t>
      </w:r>
    </w:p>
    <w:p>
      <w:pPr>
        <w:pStyle w:val="Normal"/>
        <w:numPr>
          <w:ilvl w:val="0"/>
          <w:numId w:val="5"/>
        </w:numPr>
        <w:spacing w:before="60" w:after="20"/>
        <w:jc w:val="both"/>
        <w:rPr>
          <w:rFonts w:ascii="Arial" w:hAnsi="Arial" w:cs="Arial"/>
          <w:sz w:val="20"/>
        </w:rPr>
      </w:pPr>
      <w:r>
        <w:rPr>
          <w:rFonts w:cs="Arial" w:ascii="Arial" w:hAnsi="Arial"/>
          <w:sz w:val="20"/>
        </w:rPr>
        <w:t>Piping, electrical distribution and control systems;</w:t>
      </w:r>
    </w:p>
    <w:p>
      <w:pPr>
        <w:pStyle w:val="Normal"/>
        <w:numPr>
          <w:ilvl w:val="0"/>
          <w:numId w:val="5"/>
        </w:numPr>
        <w:spacing w:before="60" w:after="20"/>
        <w:jc w:val="both"/>
        <w:rPr>
          <w:rFonts w:ascii="Arial" w:hAnsi="Arial" w:cs="Arial"/>
          <w:sz w:val="20"/>
        </w:rPr>
      </w:pPr>
      <w:r>
        <w:rPr>
          <w:rFonts w:cs="Arial" w:ascii="Arial" w:hAnsi="Arial"/>
          <w:sz w:val="20"/>
        </w:rPr>
        <w:t>A dual transformer 50 MVA 138 kv/34.5 kv substation;</w:t>
      </w:r>
    </w:p>
    <w:p>
      <w:pPr>
        <w:pStyle w:val="Normal"/>
        <w:numPr>
          <w:ilvl w:val="0"/>
          <w:numId w:val="5"/>
        </w:numPr>
        <w:spacing w:before="60" w:after="20"/>
        <w:jc w:val="both"/>
        <w:rPr>
          <w:rFonts w:ascii="Arial" w:hAnsi="Arial" w:cs="Arial"/>
          <w:sz w:val="20"/>
        </w:rPr>
      </w:pPr>
      <w:r>
        <w:rPr>
          <w:rFonts w:cs="Arial" w:ascii="Arial" w:hAnsi="Arial"/>
          <w:sz w:val="20"/>
        </w:rPr>
        <w:t>A 34.5 kv 8.5-mile transmission line;</w:t>
      </w:r>
    </w:p>
    <w:p>
      <w:pPr>
        <w:pStyle w:val="Normal"/>
        <w:numPr>
          <w:ilvl w:val="0"/>
          <w:numId w:val="5"/>
        </w:numPr>
        <w:spacing w:before="60" w:after="20"/>
        <w:jc w:val="both"/>
        <w:rPr>
          <w:rFonts w:ascii="Arial" w:hAnsi="Arial" w:cs="Arial"/>
          <w:sz w:val="20"/>
        </w:rPr>
      </w:pPr>
      <w:r>
        <w:rPr>
          <w:rFonts w:cs="Arial" w:ascii="Arial" w:hAnsi="Arial"/>
          <w:sz w:val="20"/>
        </w:rPr>
        <w:t>A dual transformer 50 MVA 34.5 kv/6.6 kv substation.</w:t>
      </w:r>
    </w:p>
    <w:p>
      <w:pPr>
        <w:pStyle w:val="Normal"/>
        <w:numPr>
          <w:ilvl w:val="0"/>
          <w:numId w:val="2"/>
        </w:numPr>
        <w:spacing w:before="60" w:after="20"/>
        <w:rPr>
          <w:rFonts w:ascii="Arial" w:hAnsi="Arial" w:cs="Arial"/>
          <w:sz w:val="20"/>
        </w:rPr>
      </w:pPr>
      <w:r>
        <w:rPr>
          <w:rFonts w:cs="Arial" w:ascii="Arial" w:hAnsi="Arial"/>
          <w:b/>
          <w:bCs/>
          <w:sz w:val="20"/>
        </w:rPr>
        <w:t>In-Service Date</w:t>
      </w:r>
      <w:r>
        <w:rPr>
          <w:rFonts w:cs="Arial" w:ascii="Arial" w:hAnsi="Arial"/>
          <w:sz w:val="20"/>
        </w:rPr>
        <w:t xml:space="preserve"> – January 1, 2003</w:t>
      </w:r>
    </w:p>
    <w:p>
      <w:pPr>
        <w:pStyle w:val="Normal"/>
        <w:numPr>
          <w:ilvl w:val="0"/>
          <w:numId w:val="2"/>
        </w:numPr>
        <w:spacing w:before="60" w:after="20"/>
        <w:rPr>
          <w:rFonts w:ascii="Arial" w:hAnsi="Arial" w:cs="Arial"/>
          <w:sz w:val="20"/>
        </w:rPr>
      </w:pPr>
      <w:r>
        <w:rPr>
          <w:rFonts w:cs="Arial" w:ascii="Arial" w:hAnsi="Arial"/>
          <w:b/>
          <w:bCs/>
          <w:sz w:val="20"/>
        </w:rPr>
        <w:t>Contract Term</w:t>
      </w:r>
      <w:r>
        <w:rPr>
          <w:rFonts w:cs="Arial" w:ascii="Arial" w:hAnsi="Arial"/>
          <w:sz w:val="20"/>
        </w:rPr>
        <w:t xml:space="preserve"> – 15 Years beginning January 1, 2003 and ending December 31, 2017 assuming a December 15, 2001 transaction close.</w:t>
      </w:r>
    </w:p>
    <w:p>
      <w:pPr>
        <w:pStyle w:val="Normal"/>
        <w:numPr>
          <w:ilvl w:val="0"/>
          <w:numId w:val="2"/>
        </w:numPr>
        <w:spacing w:before="60" w:after="20"/>
        <w:rPr>
          <w:rFonts w:ascii="Arial" w:hAnsi="Arial" w:cs="Arial"/>
          <w:sz w:val="20"/>
        </w:rPr>
      </w:pPr>
      <w:r>
        <w:rPr>
          <w:rFonts w:cs="Arial" w:ascii="Arial" w:hAnsi="Arial"/>
          <w:b/>
          <w:bCs/>
          <w:sz w:val="20"/>
        </w:rPr>
        <w:t>Ownership and Financing of Facilities</w:t>
      </w:r>
      <w:r>
        <w:rPr>
          <w:rFonts w:cs="Arial" w:ascii="Arial" w:hAnsi="Arial"/>
          <w:sz w:val="20"/>
        </w:rPr>
        <w:t xml:space="preserve"> – </w:t>
      </w:r>
    </w:p>
    <w:p>
      <w:pPr>
        <w:pStyle w:val="Normal"/>
        <w:numPr>
          <w:ilvl w:val="0"/>
          <w:numId w:val="6"/>
        </w:numPr>
        <w:spacing w:before="60" w:after="20"/>
        <w:rPr>
          <w:rFonts w:ascii="Arial" w:hAnsi="Arial" w:cs="Arial"/>
          <w:sz w:val="20"/>
        </w:rPr>
      </w:pPr>
      <w:r>
        <w:rPr>
          <w:rFonts w:cs="Arial" w:ascii="Arial" w:hAnsi="Arial"/>
          <w:sz w:val="20"/>
        </w:rPr>
        <w:t xml:space="preserve">ECS would procure the materials and equipment, the installation, and the project support </w:t>
      </w:r>
    </w:p>
    <w:p>
      <w:pPr>
        <w:pStyle w:val="Normal"/>
        <w:numPr>
          <w:ilvl w:val="0"/>
          <w:numId w:val="6"/>
        </w:numPr>
        <w:spacing w:before="60" w:after="20"/>
        <w:rPr>
          <w:rFonts w:ascii="Arial" w:hAnsi="Arial" w:cs="Arial"/>
          <w:sz w:val="20"/>
        </w:rPr>
      </w:pPr>
      <w:r>
        <w:rPr>
          <w:rFonts w:cs="Arial" w:ascii="Arial" w:hAnsi="Arial"/>
          <w:sz w:val="20"/>
        </w:rPr>
        <w:t>ECS would arrange for the construction of the power line with IL Power and right of way</w:t>
      </w:r>
    </w:p>
    <w:p>
      <w:pPr>
        <w:pStyle w:val="Normal"/>
        <w:numPr>
          <w:ilvl w:val="0"/>
          <w:numId w:val="6"/>
        </w:numPr>
        <w:spacing w:before="60" w:after="20"/>
        <w:rPr>
          <w:rFonts w:ascii="Arial" w:hAnsi="Arial" w:cs="Arial"/>
          <w:sz w:val="20"/>
        </w:rPr>
      </w:pPr>
      <w:r>
        <w:rPr>
          <w:rFonts w:cs="Arial" w:ascii="Arial" w:hAnsi="Arial"/>
          <w:sz w:val="20"/>
        </w:rPr>
        <w:t xml:space="preserve">ECS would arrange for the financing of the capital expenditures </w:t>
      </w:r>
    </w:p>
    <w:p>
      <w:pPr>
        <w:pStyle w:val="Normal"/>
        <w:numPr>
          <w:ilvl w:val="0"/>
          <w:numId w:val="6"/>
        </w:numPr>
        <w:spacing w:before="60" w:after="20"/>
        <w:rPr>
          <w:rFonts w:ascii="Arial" w:hAnsi="Arial" w:cs="Arial"/>
          <w:sz w:val="20"/>
        </w:rPr>
      </w:pPr>
      <w:r>
        <w:rPr>
          <w:rFonts w:cs="Arial" w:ascii="Arial" w:hAnsi="Arial"/>
          <w:sz w:val="20"/>
        </w:rPr>
        <w:t xml:space="preserve">ECS or an Enron affiliate would own the equipment during the contract term (power line?) </w:t>
      </w:r>
    </w:p>
    <w:p>
      <w:pPr>
        <w:pStyle w:val="Normal"/>
        <w:numPr>
          <w:ilvl w:val="0"/>
          <w:numId w:val="6"/>
        </w:numPr>
        <w:spacing w:before="60" w:after="20"/>
        <w:rPr>
          <w:rFonts w:ascii="Arial" w:hAnsi="Arial" w:cs="Arial"/>
          <w:sz w:val="20"/>
        </w:rPr>
      </w:pPr>
      <w:r>
        <w:rPr>
          <w:rFonts w:cs="Arial" w:ascii="Arial" w:hAnsi="Arial"/>
          <w:sz w:val="20"/>
        </w:rPr>
        <w:t>NICOR would assume ownership of the equipment after the 15-Year financing was fully satisfied (at end of the contract term)</w:t>
      </w:r>
    </w:p>
    <w:p>
      <w:pPr>
        <w:pStyle w:val="Normal"/>
        <w:numPr>
          <w:ilvl w:val="0"/>
          <w:numId w:val="2"/>
        </w:numPr>
        <w:spacing w:before="60" w:after="20"/>
        <w:rPr>
          <w:rFonts w:ascii="Arial" w:hAnsi="Arial" w:cs="Arial"/>
          <w:sz w:val="20"/>
        </w:rPr>
      </w:pPr>
      <w:r>
        <w:rPr>
          <w:rFonts w:cs="Arial" w:ascii="Arial" w:hAnsi="Arial"/>
          <w:b/>
          <w:bCs/>
          <w:sz w:val="20"/>
        </w:rPr>
        <w:t>Operation and Maintenance</w:t>
      </w:r>
      <w:r>
        <w:rPr>
          <w:rFonts w:cs="Arial" w:ascii="Arial" w:hAnsi="Arial"/>
          <w:sz w:val="20"/>
        </w:rPr>
        <w:t xml:space="preserve"> – </w:t>
      </w:r>
    </w:p>
    <w:p>
      <w:pPr>
        <w:pStyle w:val="Normal"/>
        <w:numPr>
          <w:ilvl w:val="1"/>
          <w:numId w:val="2"/>
        </w:numPr>
        <w:spacing w:before="60" w:after="20"/>
        <w:rPr>
          <w:rFonts w:ascii="Arial" w:hAnsi="Arial" w:cs="Arial"/>
          <w:sz w:val="20"/>
        </w:rPr>
      </w:pPr>
      <w:r>
        <w:rPr>
          <w:rFonts w:cs="Arial" w:ascii="Arial" w:hAnsi="Arial"/>
          <w:sz w:val="20"/>
        </w:rPr>
        <w:t xml:space="preserve">ECS would maintain or provide for the maintenance of the “electrical drive trains” </w:t>
      </w:r>
    </w:p>
    <w:p>
      <w:pPr>
        <w:pStyle w:val="Normal"/>
        <w:numPr>
          <w:ilvl w:val="1"/>
          <w:numId w:val="2"/>
        </w:numPr>
        <w:spacing w:before="60" w:after="20"/>
        <w:rPr>
          <w:rFonts w:ascii="Arial" w:hAnsi="Arial" w:cs="Arial"/>
          <w:sz w:val="20"/>
        </w:rPr>
      </w:pPr>
      <w:r>
        <w:rPr>
          <w:rFonts w:cs="Arial" w:ascii="Arial" w:hAnsi="Arial"/>
          <w:sz w:val="20"/>
        </w:rPr>
        <w:t xml:space="preserve">NICOR would operate and control the remainder of the station.  NICOR would also retain responsibility for the operation and maintenance of the existing gas driven horsepower. </w:t>
      </w:r>
    </w:p>
    <w:p>
      <w:pPr>
        <w:pStyle w:val="Normal"/>
        <w:numPr>
          <w:ilvl w:val="0"/>
          <w:numId w:val="2"/>
        </w:numPr>
        <w:spacing w:before="60" w:after="20"/>
        <w:rPr>
          <w:rFonts w:ascii="Arial" w:hAnsi="Arial" w:cs="Arial"/>
          <w:sz w:val="20"/>
        </w:rPr>
      </w:pPr>
      <w:r>
        <w:rPr>
          <w:rFonts w:cs="Arial" w:ascii="Arial" w:hAnsi="Arial"/>
          <w:b/>
          <w:bCs/>
          <w:sz w:val="20"/>
        </w:rPr>
        <w:t>Delivery of HP–Hours</w:t>
      </w:r>
      <w:r>
        <w:rPr>
          <w:rFonts w:cs="Arial" w:ascii="Arial" w:hAnsi="Arial"/>
          <w:sz w:val="20"/>
        </w:rPr>
        <w:t xml:space="preserve"> – (Total monthly Kilowatt Hour Usage from the Primary Meter) x (1.341 HP/Kilowatt)</w:t>
      </w:r>
    </w:p>
    <w:p>
      <w:pPr>
        <w:pStyle w:val="Normal"/>
        <w:numPr>
          <w:ilvl w:val="0"/>
          <w:numId w:val="2"/>
        </w:numPr>
        <w:spacing w:before="60" w:after="20"/>
        <w:rPr>
          <w:rFonts w:ascii="Arial" w:hAnsi="Arial" w:cs="Arial"/>
          <w:b/>
          <w:bCs/>
          <w:sz w:val="20"/>
        </w:rPr>
      </w:pPr>
      <w:r>
        <w:rPr>
          <w:rFonts w:cs="Arial" w:ascii="Arial" w:hAnsi="Arial"/>
          <w:b/>
          <w:bCs/>
          <w:sz w:val="20"/>
        </w:rPr>
        <w:t xml:space="preserve">Annual Charge </w:t>
      </w:r>
      <w:r>
        <w:rPr>
          <w:rFonts w:cs="Arial" w:ascii="Arial" w:hAnsi="Arial"/>
          <w:sz w:val="20"/>
        </w:rPr>
        <w:t>– A charge structured to provide for electric horsepower equipment capital costs and associated minimum power costs to be paid in equal monthly installments.</w:t>
      </w:r>
    </w:p>
    <w:p>
      <w:pPr>
        <w:pStyle w:val="Normal"/>
        <w:numPr>
          <w:ilvl w:val="0"/>
          <w:numId w:val="2"/>
        </w:numPr>
        <w:spacing w:before="60" w:after="20"/>
        <w:rPr>
          <w:rFonts w:ascii="Arial" w:hAnsi="Arial" w:cs="Arial"/>
          <w:sz w:val="20"/>
        </w:rPr>
      </w:pPr>
      <w:r>
        <w:rPr>
          <w:rFonts w:cs="Arial" w:ascii="Arial" w:hAnsi="Arial"/>
          <w:b/>
          <w:bCs/>
          <w:sz w:val="20"/>
        </w:rPr>
        <w:t>Firm Generation Charge</w:t>
      </w:r>
      <w:r>
        <w:rPr>
          <w:rFonts w:cs="Arial" w:ascii="Arial" w:hAnsi="Arial"/>
          <w:sz w:val="20"/>
        </w:rPr>
        <w:t xml:space="preserve"> – A monthly charge structured to provide for wholesale power.  A fixed per unit charge ($/MWh) based on a minimum usage level in the summer and winter months (i.e. firm volumes).  NICOR would have the ability to either use the firm power for its own use or sell the power into the marketplace at their discretion.  </w:t>
      </w:r>
    </w:p>
    <w:p>
      <w:pPr>
        <w:pStyle w:val="Normal"/>
        <w:numPr>
          <w:ilvl w:val="0"/>
          <w:numId w:val="2"/>
        </w:numPr>
        <w:spacing w:before="60" w:after="20"/>
        <w:rPr>
          <w:rFonts w:ascii="Arial" w:hAnsi="Arial" w:cs="Arial"/>
          <w:sz w:val="20"/>
        </w:rPr>
      </w:pPr>
      <w:r>
        <w:rPr>
          <w:rFonts w:cs="Arial" w:ascii="Arial" w:hAnsi="Arial"/>
          <w:b/>
          <w:bCs/>
          <w:sz w:val="20"/>
        </w:rPr>
        <w:t>Variable Charges</w:t>
      </w:r>
      <w:r>
        <w:rPr>
          <w:rFonts w:cs="Arial" w:ascii="Arial" w:hAnsi="Arial"/>
          <w:sz w:val="20"/>
        </w:rPr>
        <w:t xml:space="preserve"> – Monthly charges structured to compensate for fixed and variable wholesale and retail power costs and related taxes.</w:t>
      </w:r>
    </w:p>
    <w:p>
      <w:pPr>
        <w:pStyle w:val="Normal"/>
        <w:numPr>
          <w:ilvl w:val="0"/>
          <w:numId w:val="7"/>
        </w:numPr>
        <w:spacing w:before="60" w:after="20"/>
        <w:rPr>
          <w:rFonts w:ascii="Arial" w:hAnsi="Arial" w:cs="Arial"/>
          <w:i/>
          <w:i/>
          <w:iCs/>
          <w:sz w:val="20"/>
        </w:rPr>
      </w:pPr>
      <w:r>
        <w:rPr>
          <w:rFonts w:cs="Arial" w:ascii="Arial" w:hAnsi="Arial"/>
          <w:sz w:val="20"/>
          <w:u w:val="single"/>
        </w:rPr>
        <w:t>Firm Power Rates</w:t>
      </w:r>
      <w:r>
        <w:rPr>
          <w:rFonts w:cs="Arial" w:ascii="Arial" w:hAnsi="Arial"/>
          <w:sz w:val="20"/>
        </w:rPr>
        <w:t xml:space="preserve"> – </w:t>
      </w:r>
      <w:r>
        <w:rPr>
          <w:rFonts w:cs="Arial" w:ascii="Arial" w:hAnsi="Arial"/>
          <w:i/>
          <w:iCs/>
          <w:sz w:val="20"/>
        </w:rPr>
        <w:t>only incurred if power is consumed by NICOR at Troy Grove, IL</w:t>
      </w:r>
    </w:p>
    <w:p>
      <w:pPr>
        <w:pStyle w:val="Normal"/>
        <w:numPr>
          <w:ilvl w:val="1"/>
          <w:numId w:val="7"/>
        </w:numPr>
        <w:spacing w:before="60" w:after="20"/>
        <w:rPr>
          <w:rFonts w:ascii="Arial" w:hAnsi="Arial" w:cs="Arial"/>
          <w:sz w:val="20"/>
        </w:rPr>
      </w:pPr>
      <w:r>
        <w:rPr>
          <w:rFonts w:cs="Arial" w:ascii="Arial" w:hAnsi="Arial"/>
          <w:sz w:val="20"/>
        </w:rPr>
        <w:t>Demand charges for “firm volume” capacity (KW basis)</w:t>
      </w:r>
    </w:p>
    <w:p>
      <w:pPr>
        <w:pStyle w:val="Normal"/>
        <w:numPr>
          <w:ilvl w:val="1"/>
          <w:numId w:val="7"/>
        </w:numPr>
        <w:spacing w:before="60" w:after="20"/>
        <w:rPr>
          <w:rFonts w:ascii="Arial" w:hAnsi="Arial" w:cs="Arial"/>
          <w:sz w:val="20"/>
        </w:rPr>
      </w:pPr>
      <w:r>
        <w:rPr>
          <w:rFonts w:cs="Arial" w:ascii="Arial" w:hAnsi="Arial"/>
          <w:sz w:val="20"/>
        </w:rPr>
        <w:t>Variable charges for actual “firm volume” usage (KWh basis) plus excise taxes</w:t>
      </w:r>
    </w:p>
    <w:p>
      <w:pPr>
        <w:pStyle w:val="Normal"/>
        <w:numPr>
          <w:ilvl w:val="0"/>
          <w:numId w:val="7"/>
        </w:numPr>
        <w:spacing w:before="60" w:after="20"/>
        <w:rPr>
          <w:rFonts w:ascii="Arial" w:hAnsi="Arial" w:cs="Arial"/>
          <w:i/>
          <w:i/>
          <w:iCs/>
          <w:sz w:val="20"/>
        </w:rPr>
      </w:pPr>
      <w:r>
        <w:rPr>
          <w:rFonts w:cs="Arial" w:ascii="Arial" w:hAnsi="Arial"/>
          <w:sz w:val="20"/>
          <w:u w:val="single"/>
        </w:rPr>
        <w:t>Optional Power Rates</w:t>
      </w:r>
      <w:r>
        <w:rPr>
          <w:rFonts w:cs="Arial" w:ascii="Arial" w:hAnsi="Arial"/>
          <w:sz w:val="20"/>
        </w:rPr>
        <w:t xml:space="preserve"> – </w:t>
      </w:r>
      <w:r>
        <w:rPr>
          <w:rFonts w:cs="Arial" w:ascii="Arial" w:hAnsi="Arial"/>
          <w:i/>
          <w:iCs/>
          <w:sz w:val="20"/>
        </w:rPr>
        <w:t xml:space="preserve">only incurred if power is consumed by NICOR at Troy Grove, IL </w:t>
      </w:r>
      <w:r>
        <w:rPr>
          <w:rFonts w:cs="Arial" w:ascii="Arial" w:hAnsi="Arial"/>
          <w:b/>
          <w:bCs/>
          <w:i/>
          <w:iCs/>
          <w:sz w:val="20"/>
        </w:rPr>
        <w:t>and</w:t>
      </w:r>
      <w:r>
        <w:rPr>
          <w:rFonts w:cs="Arial" w:ascii="Arial" w:hAnsi="Arial"/>
          <w:i/>
          <w:iCs/>
          <w:sz w:val="20"/>
        </w:rPr>
        <w:t xml:space="preserve"> the appropriate options are exercised by NICOR </w:t>
      </w:r>
    </w:p>
    <w:p>
      <w:pPr>
        <w:pStyle w:val="Normal"/>
        <w:numPr>
          <w:ilvl w:val="1"/>
          <w:numId w:val="7"/>
        </w:numPr>
        <w:spacing w:before="60" w:after="20"/>
        <w:rPr>
          <w:rFonts w:ascii="Arial" w:hAnsi="Arial" w:cs="Arial"/>
          <w:sz w:val="20"/>
        </w:rPr>
      </w:pPr>
      <w:r>
        <w:rPr>
          <w:rFonts w:cs="Arial" w:ascii="Arial" w:hAnsi="Arial"/>
          <w:sz w:val="20"/>
        </w:rPr>
        <w:t>Generation cost, at option strike prices (at the money), for actual usage “in excess of the firm volumes” ($/MWh)</w:t>
      </w:r>
    </w:p>
    <w:p>
      <w:pPr>
        <w:pStyle w:val="Normal"/>
        <w:numPr>
          <w:ilvl w:val="1"/>
          <w:numId w:val="7"/>
        </w:numPr>
        <w:spacing w:before="60" w:after="20"/>
        <w:rPr>
          <w:rFonts w:ascii="Arial" w:hAnsi="Arial" w:cs="Arial"/>
          <w:sz w:val="20"/>
        </w:rPr>
      </w:pPr>
      <w:r>
        <w:rPr>
          <w:rFonts w:cs="Arial" w:ascii="Arial" w:hAnsi="Arial"/>
          <w:sz w:val="20"/>
        </w:rPr>
        <w:t>Demand charges for capacity “in excess of the firm volumes”  (KW basis)</w:t>
      </w:r>
    </w:p>
    <w:p>
      <w:pPr>
        <w:pStyle w:val="Normal"/>
        <w:numPr>
          <w:ilvl w:val="1"/>
          <w:numId w:val="7"/>
        </w:numPr>
        <w:spacing w:before="60" w:after="20"/>
        <w:rPr>
          <w:rFonts w:ascii="Arial" w:hAnsi="Arial" w:cs="Arial"/>
          <w:sz w:val="20"/>
        </w:rPr>
      </w:pPr>
      <w:r>
        <w:rPr>
          <w:rFonts w:cs="Arial" w:ascii="Arial" w:hAnsi="Arial"/>
          <w:sz w:val="20"/>
        </w:rPr>
        <w:t>Variable charges for actual usage “in excess of the firm volumes” (KWh basis) plus excise taxes</w:t>
      </w:r>
    </w:p>
    <w:p>
      <w:pPr>
        <w:pStyle w:val="Normal"/>
        <w:numPr>
          <w:ilvl w:val="0"/>
          <w:numId w:val="7"/>
        </w:numPr>
        <w:spacing w:before="60" w:after="20"/>
        <w:rPr>
          <w:rFonts w:ascii="Arial" w:hAnsi="Arial" w:cs="Arial"/>
          <w:i/>
          <w:i/>
          <w:iCs/>
          <w:sz w:val="20"/>
        </w:rPr>
      </w:pPr>
      <w:r>
        <w:rPr>
          <w:rFonts w:cs="Arial" w:ascii="Arial" w:hAnsi="Arial"/>
          <w:sz w:val="20"/>
          <w:u w:val="single"/>
        </w:rPr>
        <w:t>Imbalance Charges</w:t>
      </w:r>
      <w:r>
        <w:rPr>
          <w:rFonts w:cs="Arial" w:ascii="Arial" w:hAnsi="Arial"/>
          <w:sz w:val="20"/>
        </w:rPr>
        <w:t xml:space="preserve"> – Any imbalance charges billed by Illinois Power would be a direct pass-through to NICOR as incurred.</w:t>
      </w:r>
    </w:p>
    <w:p>
      <w:pPr>
        <w:pStyle w:val="Normal"/>
        <w:spacing w:before="60" w:after="20"/>
        <w:rPr>
          <w:rFonts w:ascii="Arial" w:hAnsi="Arial" w:cs="Arial"/>
          <w:i/>
          <w:i/>
          <w:iCs/>
          <w:sz w:val="20"/>
        </w:rPr>
      </w:pPr>
      <w:r>
        <w:rPr>
          <w:rFonts w:cs="Arial" w:ascii="Arial" w:hAnsi="Arial"/>
          <w:i/>
          <w:iCs/>
          <w:sz w:val="20"/>
        </w:rPr>
      </w:r>
    </w:p>
    <w:p>
      <w:pPr>
        <w:pStyle w:val="Normal"/>
        <w:numPr>
          <w:ilvl w:val="0"/>
          <w:numId w:val="2"/>
        </w:numPr>
        <w:spacing w:before="60" w:after="20"/>
        <w:rPr>
          <w:rFonts w:ascii="Arial" w:hAnsi="Arial" w:cs="Arial"/>
          <w:sz w:val="20"/>
        </w:rPr>
      </w:pPr>
      <w:r>
        <w:rPr>
          <w:rFonts w:cs="Arial" w:ascii="Arial" w:hAnsi="Arial"/>
          <w:b/>
          <w:bCs/>
          <w:sz w:val="20"/>
        </w:rPr>
        <w:t>Illinois Power Tariff Changes</w:t>
      </w:r>
      <w:r>
        <w:rPr>
          <w:rFonts w:cs="Arial" w:ascii="Arial" w:hAnsi="Arial"/>
          <w:sz w:val="20"/>
        </w:rPr>
        <w:t xml:space="preserve"> – Any price changes in the “Variable Charges” noted in Section 12, excluding generation costs, after January 1, 2002 would be a direct pass through to NICOR.  A full review of the applicable tariffs would be conducted prior to the execution of definitive agreements.</w:t>
      </w:r>
    </w:p>
    <w:p>
      <w:pPr>
        <w:pStyle w:val="Normal"/>
        <w:numPr>
          <w:ilvl w:val="0"/>
          <w:numId w:val="2"/>
        </w:numPr>
        <w:spacing w:before="60" w:after="20"/>
        <w:rPr>
          <w:rFonts w:ascii="Arial" w:hAnsi="Arial" w:cs="Arial"/>
          <w:b/>
          <w:bCs/>
          <w:color w:val="FF0000"/>
          <w:sz w:val="20"/>
        </w:rPr>
      </w:pPr>
      <w:r>
        <w:rPr>
          <w:rFonts w:cs="Arial" w:ascii="Arial" w:hAnsi="Arial"/>
          <w:b/>
          <w:bCs/>
          <w:color w:val="FF0000"/>
          <w:sz w:val="20"/>
        </w:rPr>
        <w:t>Commodity Management Services</w:t>
      </w:r>
      <w:r>
        <w:rPr>
          <w:rFonts w:cs="Arial" w:ascii="Arial" w:hAnsi="Arial"/>
          <w:b/>
          <w:bCs/>
          <w:sz w:val="20"/>
        </w:rPr>
        <w:t xml:space="preserve"> </w:t>
      </w:r>
      <w:r>
        <w:rPr>
          <w:rFonts w:cs="Arial" w:ascii="Arial" w:hAnsi="Arial"/>
          <w:sz w:val="20"/>
        </w:rPr>
        <w:t xml:space="preserve">– </w:t>
      </w:r>
      <w:r>
        <w:rPr>
          <w:rFonts w:cs="Arial" w:ascii="Arial" w:hAnsi="Arial"/>
          <w:color w:val="FF0000"/>
          <w:sz w:val="20"/>
        </w:rPr>
        <w:t>waiting on comments from Terri Clynes</w:t>
      </w:r>
    </w:p>
    <w:p>
      <w:pPr>
        <w:pStyle w:val="Normal"/>
        <w:spacing w:before="60" w:after="20"/>
        <w:ind w:start="1080" w:end="0"/>
        <w:rPr>
          <w:rFonts w:ascii="Arial" w:hAnsi="Arial" w:cs="Arial"/>
          <w:sz w:val="20"/>
        </w:rPr>
      </w:pPr>
      <w:r>
        <w:rPr>
          <w:rFonts w:cs="Arial" w:ascii="Arial" w:hAnsi="Arial"/>
          <w:b/>
          <w:bCs/>
          <w:sz w:val="20"/>
        </w:rPr>
        <w:tab/>
        <w:tab/>
      </w:r>
    </w:p>
    <w:p>
      <w:pPr>
        <w:pStyle w:val="Normal"/>
        <w:spacing w:before="60" w:after="0"/>
        <w:rPr>
          <w:rFonts w:ascii="Arial" w:hAnsi="Arial" w:cs="Arial"/>
          <w:sz w:val="20"/>
        </w:rPr>
      </w:pPr>
      <w:r>
        <w:rPr>
          <w:rFonts w:cs="Arial" w:ascii="Arial" w:hAnsi="Arial"/>
          <w:sz w:val="20"/>
        </w:rPr>
      </w:r>
    </w:p>
    <w:p>
      <w:pPr>
        <w:pStyle w:val="Heading2"/>
        <w:ind w:hanging="0" w:start="0"/>
        <w:rPr>
          <w:rFonts w:ascii="Arial" w:hAnsi="Arial" w:cs="Arial"/>
          <w:b/>
          <w:bCs/>
        </w:rPr>
      </w:pPr>
      <w:r>
        <w:rPr>
          <w:rFonts w:cs="Arial" w:ascii="Arial" w:hAnsi="Arial"/>
          <w:b/>
          <w:bCs/>
        </w:rPr>
        <w:t xml:space="preserve">Article II:  Binding Commercial Terms                                                                                                                                                                                                                                                                                                                                                                                                              </w:t>
      </w:r>
    </w:p>
    <w:p>
      <w:pPr>
        <w:pStyle w:val="Normal"/>
        <w:rPr>
          <w:rFonts w:ascii="Arial" w:hAnsi="Arial" w:cs="Arial"/>
          <w:b/>
          <w:bCs/>
          <w:sz w:val="20"/>
        </w:rPr>
      </w:pPr>
      <w:r>
        <w:rPr>
          <w:rFonts w:cs="Arial" w:ascii="Arial" w:hAnsi="Arial"/>
          <w:b/>
          <w:bCs/>
          <w:sz w:val="20"/>
        </w:rPr>
      </w:r>
    </w:p>
    <w:p>
      <w:pPr>
        <w:pStyle w:val="Normal"/>
        <w:numPr>
          <w:ilvl w:val="0"/>
          <w:numId w:val="9"/>
        </w:numPr>
        <w:spacing w:before="30" w:after="20"/>
        <w:rPr>
          <w:rFonts w:ascii="Arial" w:hAnsi="Arial" w:cs="Arial"/>
          <w:sz w:val="20"/>
        </w:rPr>
      </w:pPr>
      <w:r>
        <w:rPr>
          <w:rFonts w:cs="Arial" w:ascii="Arial" w:hAnsi="Arial"/>
          <w:b/>
          <w:bCs/>
          <w:sz w:val="20"/>
        </w:rPr>
        <w:t>Exclusivity</w:t>
      </w:r>
      <w:r>
        <w:rPr>
          <w:rFonts w:cs="Arial" w:ascii="Arial" w:hAnsi="Arial"/>
          <w:sz w:val="20"/>
        </w:rPr>
        <w:t xml:space="preserve"> – An exclusivity provision would prevent NICOR from working with, entertaining offers from, or soliciting proposals with any other persons or entity with regard to the project or another similar transaction involving the supply of energy to NICOR’s Troy Grove storage facility.  The exclusivity period would be from the date of the LOI execution through July 1, 2002.</w:t>
      </w:r>
    </w:p>
    <w:p>
      <w:pPr>
        <w:pStyle w:val="Normal"/>
        <w:numPr>
          <w:ilvl w:val="0"/>
          <w:numId w:val="9"/>
        </w:numPr>
        <w:spacing w:before="30" w:after="20"/>
        <w:rPr>
          <w:rFonts w:ascii="Arial" w:hAnsi="Arial" w:cs="Arial"/>
          <w:sz w:val="20"/>
        </w:rPr>
      </w:pPr>
      <w:r>
        <w:rPr>
          <w:rFonts w:cs="Arial" w:ascii="Arial" w:hAnsi="Arial"/>
          <w:b/>
          <w:bCs/>
          <w:sz w:val="20"/>
        </w:rPr>
        <w:t>Governing Law</w:t>
      </w:r>
      <w:r>
        <w:rPr>
          <w:rFonts w:cs="Arial" w:ascii="Arial" w:hAnsi="Arial"/>
          <w:sz w:val="20"/>
        </w:rPr>
        <w:t xml:space="preserve"> – The LOI would be governed by and construed in accordance with the laws of the State of Texas.</w:t>
      </w:r>
    </w:p>
    <w:p>
      <w:pPr>
        <w:pStyle w:val="Normal"/>
        <w:numPr>
          <w:ilvl w:val="0"/>
          <w:numId w:val="9"/>
        </w:numPr>
        <w:spacing w:before="30" w:after="20"/>
        <w:rPr>
          <w:rFonts w:ascii="Arial" w:hAnsi="Arial" w:cs="Arial"/>
          <w:b/>
          <w:bCs/>
          <w:sz w:val="20"/>
        </w:rPr>
      </w:pPr>
      <w:r>
        <w:rPr>
          <w:rFonts w:cs="Arial" w:ascii="Arial" w:hAnsi="Arial"/>
          <w:b/>
          <w:bCs/>
          <w:sz w:val="20"/>
        </w:rPr>
        <w:t xml:space="preserve">Binding Arbitration\Limitation of Liability </w:t>
      </w:r>
    </w:p>
    <w:p>
      <w:pPr>
        <w:pStyle w:val="Normal"/>
        <w:spacing w:before="30" w:after="0"/>
        <w:rPr>
          <w:rFonts w:ascii="Arial" w:hAnsi="Arial" w:cs="Arial"/>
          <w:b/>
          <w:bCs/>
          <w:sz w:val="20"/>
        </w:rPr>
      </w:pPr>
      <w:r>
        <w:rPr>
          <w:rFonts w:cs="Arial" w:ascii="Arial" w:hAnsi="Arial"/>
          <w:b/>
          <w:bCs/>
          <w:sz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lowerLetter"/>
      <w:lvlText w:val="%1."/>
      <w:lvlJc w:val="start"/>
      <w:pPr>
        <w:tabs>
          <w:tab w:val="num" w:pos="1440"/>
        </w:tabs>
        <w:ind w:start="1440" w:hanging="360"/>
      </w:pPr>
    </w:lvl>
  </w:abstractNum>
  <w:abstractNum w:abstractNumId="5">
    <w:lvl w:ilvl="0">
      <w:start w:val="1"/>
      <w:numFmt w:val="lowerLetter"/>
      <w:lvlText w:val="%1."/>
      <w:lvlJc w:val="start"/>
      <w:pPr>
        <w:tabs>
          <w:tab w:val="num" w:pos="1440"/>
        </w:tabs>
        <w:ind w:start="1440" w:hanging="360"/>
      </w:pPr>
    </w:lvl>
  </w:abstractNum>
  <w:abstractNum w:abstractNumId="6">
    <w:lvl w:ilvl="0">
      <w:start w:val="1"/>
      <w:numFmt w:val="lowerLetter"/>
      <w:lvlText w:val="%1."/>
      <w:lvlJc w:val="start"/>
      <w:pPr>
        <w:tabs>
          <w:tab w:val="num" w:pos="1440"/>
        </w:tabs>
        <w:ind w:start="1440" w:hanging="360"/>
      </w:pPr>
    </w:lvl>
  </w:abstractNum>
  <w:abstractNum w:abstractNumId="7">
    <w:lvl w:ilvl="0">
      <w:start w:val="1"/>
      <w:numFmt w:val="lowerLetter"/>
      <w:lvlText w:val="%1."/>
      <w:lvlJc w:val="start"/>
      <w:pPr>
        <w:tabs>
          <w:tab w:val="num" w:pos="1800"/>
        </w:tabs>
        <w:ind w:start="1800" w:hanging="360"/>
      </w:pPr>
    </w:lvl>
    <w:lvl w:ilvl="1">
      <w:start w:val="1"/>
      <w:numFmt w:val="bullet"/>
      <w:lvlText w:val=""/>
      <w:lvlJc w:val="start"/>
      <w:pPr>
        <w:tabs>
          <w:tab w:val="num" w:pos="2520"/>
        </w:tabs>
        <w:ind w:start="2520" w:hanging="360"/>
      </w:pPr>
      <w:rPr>
        <w:rFonts w:ascii="Symbol" w:hAnsi="Symbol" w:cs="Symbol" w:hint="default"/>
      </w:r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8">
    <w:lvl w:ilvl="0">
      <w:start w:val="1"/>
      <w:numFmt w:val="lowerLetter"/>
      <w:lvlText w:val="%1."/>
      <w:lvlJc w:val="start"/>
      <w:pPr>
        <w:tabs>
          <w:tab w:val="num" w:pos="1440"/>
        </w:tabs>
        <w:ind w:start="1440" w:hanging="360"/>
      </w:pPr>
    </w:lvl>
    <w:lvl w:ilvl="1">
      <w:start w:val="1"/>
      <w:numFmt w:val="bullet"/>
      <w:lvlText w:val=""/>
      <w:lvlJc w:val="start"/>
      <w:pPr>
        <w:tabs>
          <w:tab w:val="num" w:pos="2160"/>
        </w:tabs>
        <w:ind w:start="2160" w:hanging="360"/>
      </w:pPr>
      <w:rPr>
        <w:rFonts w:ascii="Symbol" w:hAnsi="Symbol" w:cs="Symbol" w:hint="default"/>
      </w:r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9">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u w:val="single"/>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9z1">
    <w:name w:val="WW8Num9z1"/>
    <w:qFormat/>
    <w:rPr>
      <w:rFonts w:ascii="Symbol" w:hAnsi="Symbol" w:cs="Symbol"/>
    </w:rPr>
  </w:style>
  <w:style w:type="character" w:styleId="WW8Num10z1">
    <w:name w:val="WW8Num10z1"/>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jc w:val="both"/>
    </w:pPr>
    <w:rPr>
      <w:sz w:val="22"/>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2001-11-01T14:20:00Z</dcterms:created>
  <dc:creator>ldruzbik</dc:creator>
  <dc:description/>
  <dc:language>en-CA</dc:language>
  <cp:lastModifiedBy>ldruzbik</cp:lastModifiedBy>
  <cp:lastPrinted>2001-11-01T09:00:00Z</cp:lastPrinted>
  <dcterms:modified xsi:type="dcterms:W3CDTF">2001-11-01T14:20:00Z</dcterms:modified>
  <cp:revision>2</cp:revision>
  <dc:subject/>
  <dc:title>NICOR LOI Outline</dc:title>
</cp:coreProperties>
</file>