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Nicor </w:t>
      </w:r>
      <w:r>
        <w:rPr>
          <w:rFonts w:cs="Arial Narrow" w:ascii="Arial Narrow" w:hAnsi="Arial Narrow"/>
          <w:sz w:val="18"/>
          <w:highlight w:val="yellow"/>
        </w:rPr>
        <w:t>Energy, L.L.C.,</w:t>
      </w:r>
      <w:r>
        <w:rPr>
          <w:rFonts w:cs="Arial Narrow" w:ascii="Arial Narrow" w:hAnsi="Arial Narrow"/>
          <w:sz w:val="18"/>
        </w:rPr>
        <w:t xml:space="preserve"> an Illinois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w:t>
      </w:r>
      <w:r>
        <w:rPr>
          <w:rFonts w:cs="Arial Narrow" w:ascii="Arial Narrow" w:hAnsi="Arial Narrow"/>
          <w:sz w:val="18"/>
          <w:highlight w:val="yellow"/>
        </w:rPr>
        <w:t>1st Day of October, 2001</w:t>
      </w:r>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r>
        <w:rPr>
          <w:rFonts w:cs="Arial Narrow" w:ascii="Arial Narrow" w:hAnsi="Arial Narrow"/>
          <w:sz w:val="18"/>
          <w:highlight w:val="yellow"/>
        </w:rPr>
        <w:t xml:space="preserve">Company shall and Customer may at </w:t>
      </w:r>
      <w:r>
        <w:rPr>
          <w:rFonts w:cs="Arial Narrow" w:ascii="Arial Narrow" w:hAnsi="Arial Narrow"/>
          <w:sz w:val="18"/>
        </w:rPr>
        <w:t xml:space="preserve">its expense maintain equipment necessary to regularly record Transactions on Transaction Tapes and retain Transaction Tapes in such manner as to protect its business records from improper access; provided, </w:t>
      </w:r>
      <w:r>
        <w:rPr>
          <w:rFonts w:cs="Arial Narrow" w:ascii="Arial Narrow" w:hAnsi="Arial Narrow"/>
          <w:sz w:val="18"/>
          <w:highlight w:val="yellow"/>
        </w:rPr>
        <w:t>Neither Party shall be liable for any malfunction of equipment or the operation thereof in respect of any Transaction</w:t>
      </w:r>
      <w:r>
        <w:rPr>
          <w:rFonts w:cs="Arial Narrow" w:ascii="Arial Narrow" w:hAnsi="Arial Narrow"/>
          <w:sz w:val="18"/>
        </w:rPr>
        <w:t xml:space="preserve">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r>
        <w:rPr>
          <w:rFonts w:cs="Arial Narrow" w:ascii="Arial Narrow" w:hAnsi="Arial Narrow"/>
          <w:sz w:val="18"/>
          <w:highlight w:val="yellow"/>
        </w:rPr>
        <w:t>any and all, but not less than all, Transactions and this Agreement in respect thereof will terminate</w:t>
      </w:r>
      <w:r>
        <w:rPr>
          <w:rFonts w:cs="Arial Narrow" w:ascii="Arial Narrow" w:hAnsi="Arial Narrow"/>
          <w:sz w:val="18"/>
        </w:rPr>
        <w:t xml:space="preserv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xml:space="preserve">.  If an Early Termination Date occurs, the Notifying Party shall in good faith calculate its </w:t>
      </w:r>
      <w:r>
        <w:rPr>
          <w:rFonts w:cs="Arial Narrow" w:ascii="Arial Narrow" w:hAnsi="Arial Narrow"/>
          <w:sz w:val="18"/>
          <w:highlight w:val="yellow"/>
        </w:rPr>
        <w:t>damages</w:t>
      </w:r>
      <w:r>
        <w:rPr>
          <w:rFonts w:cs="Arial Narrow" w:ascii="Arial Narrow" w:hAnsi="Arial Narrow"/>
          <w:sz w:val="18"/>
        </w:rPr>
        <w:t xml:space="preserve">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w:t>
      </w:r>
      <w:r>
        <w:rPr>
          <w:rFonts w:cs="Arial Narrow" w:ascii="Arial Narrow" w:hAnsi="Arial Narrow"/>
          <w:sz w:val="18"/>
          <w:highlight w:val="yellow"/>
        </w:rPr>
        <w:t>.</w:t>
      </w:r>
      <w:r>
        <w:rPr>
          <w:rFonts w:cs="Arial Narrow" w:ascii="Arial Narrow" w:hAnsi="Arial Narrow"/>
          <w:sz w:val="18"/>
        </w:rPr>
        <w:t xml:space="preserve">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(under this Agreement) against any or all amounts which the Notifying Party owes to the Affected Party (either under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w:t>
      </w:r>
      <w:ins w:id="0" w:author="dperlin" w:date="2001-10-15T13:44:00Z">
        <w:r>
          <w:rPr>
            <w:rFonts w:cs="Arial Narrow" w:ascii="Arial Narrow" w:hAnsi="Arial Narrow"/>
            <w:sz w:val="18"/>
          </w:rPr>
          <w:t xml:space="preserve">Customer </w:t>
        </w:r>
      </w:ins>
      <w:del w:id="1" w:author="dperlin" w:date="2001-10-15T13:44:00Z">
        <w:r>
          <w:rPr>
            <w:rFonts w:cs="Arial Narrow" w:ascii="Arial Narrow" w:hAnsi="Arial Narrow"/>
            <w:sz w:val="18"/>
          </w:rPr>
          <w:delText>Nicor Inc</w:delText>
        </w:r>
      </w:del>
      <w:r>
        <w:rPr>
          <w:rFonts w:cs="Arial Narrow" w:ascii="Arial Narrow" w:hAnsi="Arial Narrow"/>
          <w:sz w:val="18"/>
        </w:rPr>
        <w:t>. shall have defaulted on its indebted</w:t>
        <w:softHyphen/>
        <w:t xml:space="preserve">ness to third parties, resulting in an acceleration of obligations of </w:t>
      </w:r>
      <w:ins w:id="2" w:author="dperlin" w:date="2001-10-15T13:44:00Z">
        <w:r>
          <w:rPr>
            <w:rFonts w:cs="Arial Narrow" w:ascii="Arial Narrow" w:hAnsi="Arial Narrow"/>
            <w:sz w:val="18"/>
          </w:rPr>
          <w:t>Customer</w:t>
        </w:r>
      </w:ins>
      <w:del w:id="3" w:author="dperlin" w:date="2001-10-15T13:44:00Z">
        <w:r>
          <w:rPr>
            <w:rFonts w:cs="Arial Narrow" w:ascii="Arial Narrow" w:hAnsi="Arial Narrow"/>
            <w:sz w:val="18"/>
          </w:rPr>
          <w:delText>Nicor Inc</w:delText>
        </w:r>
      </w:del>
      <w:r>
        <w:rPr>
          <w:rFonts w:cs="Arial Narrow" w:ascii="Arial Narrow" w:hAnsi="Arial Narrow"/>
          <w:sz w:val="18"/>
        </w:rPr>
        <w:t>. in excess of $</w:t>
      </w:r>
      <w:ins w:id="4" w:author="dperlin" w:date="2001-10-15T13:44:00Z">
        <w:r>
          <w:rPr>
            <w:rFonts w:cs="Arial Narrow" w:ascii="Arial Narrow" w:hAnsi="Arial Narrow"/>
            <w:sz w:val="18"/>
          </w:rPr>
          <w:t>5</w:t>
        </w:r>
      </w:ins>
      <w:del w:id="5" w:author="dperlin" w:date="2001-10-15T13:44:00Z">
        <w:r>
          <w:rPr>
            <w:rFonts w:cs="Arial Narrow" w:ascii="Arial Narrow" w:hAnsi="Arial Narrow"/>
            <w:sz w:val="18"/>
          </w:rPr>
          <w:delText>6</w:delText>
        </w:r>
      </w:del>
      <w:r>
        <w:rPr>
          <w:rFonts w:cs="Arial Narrow" w:ascii="Arial Narrow" w:hAnsi="Arial Narrow"/>
          <w:sz w:val="18"/>
        </w:rPr>
        <w:t xml:space="preserve">,000,000,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If at any time during the term of this Agreement (and notwithstanding whether a Triggering Event has occurred) the Termination Payment that would be owed in respect to all Transactions then outstanding to Customer should exceed $1</w:t>
      </w:r>
      <w:ins w:id="6" w:author="dperlin" w:date="2001-10-15T13:45:00Z">
        <w:r>
          <w:rPr>
            <w:rFonts w:cs="Arial Narrow" w:ascii="Arial Narrow" w:hAnsi="Arial Narrow"/>
            <w:sz w:val="18"/>
          </w:rPr>
          <w:t>5</w:t>
        </w:r>
      </w:ins>
      <w:del w:id="7" w:author="dperlin" w:date="2001-10-15T13:45:00Z">
        <w:r>
          <w:rPr>
            <w:rFonts w:cs="Arial Narrow" w:ascii="Arial Narrow" w:hAnsi="Arial Narrow"/>
            <w:sz w:val="18"/>
          </w:rPr>
          <w:delText>0</w:delText>
        </w:r>
      </w:del>
      <w:r>
        <w:rPr>
          <w:rFonts w:cs="Arial Narrow" w:ascii="Arial Narrow" w:hAnsi="Arial Narrow"/>
          <w:sz w:val="18"/>
        </w:rPr>
        <w:t>,000,000 then Customer as the Beneficiary Party may request the Company to establish a Letter of Credit as the Account Party in an amount equal to the Termination Payment in excess of $1</w:t>
      </w:r>
      <w:ins w:id="8" w:author="dperlin" w:date="2001-10-15T13:45:00Z">
        <w:r>
          <w:rPr>
            <w:rFonts w:cs="Arial Narrow" w:ascii="Arial Narrow" w:hAnsi="Arial Narrow"/>
            <w:sz w:val="18"/>
          </w:rPr>
          <w:t>5</w:t>
        </w:r>
      </w:ins>
      <w:del w:id="9" w:author="dperlin" w:date="2001-10-15T13:45:00Z">
        <w:r>
          <w:rPr>
            <w:rFonts w:cs="Arial Narrow" w:ascii="Arial Narrow" w:hAnsi="Arial Narrow"/>
            <w:sz w:val="18"/>
          </w:rPr>
          <w:delText>0</w:delText>
        </w:r>
      </w:del>
      <w:r>
        <w:rPr>
          <w:rFonts w:cs="Arial Narrow" w:ascii="Arial Narrow" w:hAnsi="Arial Narrow"/>
          <w:sz w:val="18"/>
        </w:rPr>
        <w:t xml:space="preserve">,000,000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w:t>
      </w:r>
      <w:del w:id="10" w:author="dperlin" w:date="2001-10-15T13:45:00Z">
        <w:r>
          <w:rPr>
            <w:rFonts w:cs="Arial Narrow" w:ascii="Arial Narrow" w:hAnsi="Arial Narrow"/>
            <w:sz w:val="18"/>
          </w:rPr>
          <w:delText>5,</w:delText>
        </w:r>
      </w:del>
      <w:ins w:id="11" w:author="dperlin" w:date="2001-10-15T13:46:00Z">
        <w:r>
          <w:rPr>
            <w:rFonts w:cs="Arial Narrow" w:ascii="Arial Narrow" w:hAnsi="Arial Narrow"/>
            <w:sz w:val="18"/>
          </w:rPr>
          <w:t>750</w:t>
        </w:r>
      </w:ins>
      <w:del w:id="12" w:author="dperlin" w:date="2001-10-15T13:46:00Z">
        <w:r>
          <w:rPr>
            <w:rFonts w:cs="Arial Narrow" w:ascii="Arial Narrow" w:hAnsi="Arial Narrow"/>
            <w:sz w:val="18"/>
          </w:rPr>
          <w:delText>000</w:delText>
        </w:r>
      </w:del>
      <w:r>
        <w:rPr>
          <w:rFonts w:cs="Arial Narrow" w:ascii="Arial Narrow" w:hAnsi="Arial Narrow"/>
          <w:sz w:val="18"/>
        </w:rPr>
        <w:t>,000, then Company as the Beneficiary Party may request Customer to establish a Letter of Credit as the Account Party in an amount equal to the Termination Payment in excess of $</w:t>
      </w:r>
      <w:del w:id="13" w:author="dperlin" w:date="2001-10-15T13:45:00Z">
        <w:r>
          <w:rPr>
            <w:rFonts w:cs="Arial Narrow" w:ascii="Arial Narrow" w:hAnsi="Arial Narrow"/>
            <w:sz w:val="18"/>
          </w:rPr>
          <w:delText>5</w:delText>
        </w:r>
      </w:del>
      <w:r>
        <w:rPr>
          <w:rFonts w:cs="Arial Narrow" w:ascii="Arial Narrow" w:hAnsi="Arial Narrow"/>
          <w:sz w:val="18"/>
        </w:rPr>
        <w:t>,</w:t>
      </w:r>
      <w:ins w:id="14" w:author="dperlin" w:date="2001-10-15T13:45:00Z">
        <w:r>
          <w:rPr>
            <w:rFonts w:cs="Arial Narrow" w:ascii="Arial Narrow" w:hAnsi="Arial Narrow"/>
            <w:sz w:val="18"/>
          </w:rPr>
          <w:t>750</w:t>
        </w:r>
      </w:ins>
      <w:del w:id="15" w:author="dperlin" w:date="2001-10-15T13:46:00Z">
        <w:r>
          <w:rPr>
            <w:rFonts w:cs="Arial Narrow" w:ascii="Arial Narrow" w:hAnsi="Arial Narrow"/>
            <w:sz w:val="18"/>
          </w:rPr>
          <w:delText>000</w:delText>
        </w:r>
      </w:del>
      <w:r>
        <w:rPr>
          <w:rFonts w:cs="Arial Narrow" w:ascii="Arial Narrow" w:hAnsi="Arial Narrow"/>
          <w:sz w:val="18"/>
        </w:rPr>
        <w:t xml:space="preserve">,000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w:t>
      </w:r>
      <w:r>
        <w:rPr>
          <w:rFonts w:cs="Arial Narrow" w:ascii="Arial Narrow" w:hAnsi="Arial Narrow"/>
          <w:sz w:val="18"/>
          <w:highlight w:val="yellow"/>
        </w:rPr>
        <w:t>for a period of up to 60 Days in the aggregate during any 12 Month period, but for no longer period.</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w:t>
      </w:r>
      <w:r>
        <w:rPr>
          <w:rFonts w:cs="Arial Narrow" w:ascii="Arial Narrow" w:hAnsi="Arial Narrow"/>
          <w:sz w:val="18"/>
          <w:highlight w:val="yellow"/>
        </w:rPr>
        <w:t xml:space="preserve">60 Day </w:t>
      </w:r>
      <w:r>
        <w:rPr>
          <w:rFonts w:cs="Arial Narrow" w:ascii="Arial Narrow" w:hAnsi="Arial Narrow"/>
          <w:sz w:val="18"/>
          <w:highlight w:val="yellow"/>
          <w:u w:val="single"/>
        </w:rPr>
        <w:t xml:space="preserve">Force Majeure </w:t>
      </w:r>
      <w:r>
        <w:rPr>
          <w:rFonts w:cs="Arial Narrow" w:ascii="Arial Narrow" w:hAnsi="Arial Narrow"/>
          <w:sz w:val="18"/>
          <w:highlight w:val="yellow"/>
        </w:rPr>
        <w:t>period or any part thereof. The Parties expressly agree that upon the expiration of the 60 Day Force Majeure period either Buyer or Seller may terminate the Transaction in accordance with Section 4. provided that the parties shall be liable for damages set forth in accordance wtith Article 3 and Article 4.</w:t>
      </w:r>
      <w:r>
        <w:rPr>
          <w:rFonts w:cs="Arial Narrow" w:ascii="Arial Narrow" w:hAnsi="Arial Narrow"/>
          <w:sz w:val="18"/>
        </w:rPr>
        <w:t xml:space="preserve">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highlight w:val="yellow"/>
        </w:rPr>
        <w:t>NICOR ENERGY,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ins w:id="17" w:author="dperlin" w:date="2001-10-15T13:42:00Z"/>
        </w:rPr>
      </w:pPr>
      <w:del w:id="16" w:author="dperlin" w:date="2001-10-15T13:42: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/mnt/main-storage/datasets/enron-docs/doc/Nicor_Energy__dp__redline_.doc</w:delText>
        </w:r>
        <w:r>
          <w:rPr>
            <w:sz w:val="16"/>
            <w:rFonts w:cs="Arial Narrow" w:ascii="Arial Narrow" w:hAnsi="Arial Narrow"/>
          </w:rPr>
          <w:fldChar w:fldCharType="end"/>
        </w:r>
      </w:del>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ins w:id="18" w:author="dperlin" w:date="2001-10-15T13:42:00Z">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/mnt/main-storage/datasets/enron-docs/doc/Nicor_Energy__dp__redline_.doc</w:t>
        </w:r>
        <w:r>
          <w:rPr>
            <w:sz w:val="16"/>
            <w:rFonts w:cs="Arial Narrow" w:ascii="Arial Narrow" w:hAnsi="Arial Narrow"/>
          </w:rPr>
          <w:fldChar w:fldCharType="end"/>
        </w:r>
      </w:ins>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w:t>
      </w:r>
      <w:r>
        <w:rPr>
          <w:rFonts w:cs="Arial Narrow" w:ascii="Arial Narrow" w:hAnsi="Arial Narrow"/>
          <w:sz w:val="18"/>
          <w:highlight w:val="yellow"/>
        </w:rPr>
        <w:t xml:space="preserve">, </w:t>
      </w:r>
      <w:r>
        <w:rPr>
          <w:rFonts w:cs="Arial Narrow" w:ascii="Arial Narrow" w:hAnsi="Arial Narrow"/>
          <w:sz w:val="18"/>
        </w:rPr>
        <w:t xml:space="preserve">and which by the exercise of due diligence such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del w:id="19" w:author="dperlin" w:date="2001-10-15T13:48:00Z">
        <w:r>
          <w:rPr>
            <w:rFonts w:cs="Arial Narrow" w:ascii="Arial Narrow" w:hAnsi="Arial Narrow"/>
            <w:sz w:val="18"/>
          </w:rPr>
          <w:delText>, and as to Customer, Customer's ultimate parent, Nicor, Inc.</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w:t>
      </w:r>
      <w:del w:id="20" w:author="dperlin" w:date="2001-10-15T14:09:00Z">
        <w:r>
          <w:rPr>
            <w:rFonts w:cs="Arial Narrow" w:ascii="Arial Narrow" w:hAnsi="Arial Narrow"/>
            <w:sz w:val="18"/>
          </w:rPr>
          <w:delText>Customer's</w:delText>
        </w:r>
      </w:del>
      <w:r>
        <w:rPr>
          <w:rFonts w:cs="Arial Narrow" w:ascii="Arial Narrow" w:hAnsi="Arial Narrow"/>
          <w:sz w:val="18"/>
        </w:rPr>
        <w:t xml:space="preserve"> </w:t>
      </w:r>
      <w:ins w:id="21" w:author="dperlin" w:date="2001-10-15T14:09:00Z">
        <w:r>
          <w:rPr>
            <w:rFonts w:cs="Arial Narrow" w:ascii="Arial Narrow" w:hAnsi="Arial Narrow"/>
            <w:sz w:val="18"/>
          </w:rPr>
          <w:t xml:space="preserve">in the reasonable opinion of Company, a material change in the creditworthiness, financial condition or ongoing business of Customer that may adversely affect Customer's ability to perform hereunder </w:t>
        </w:r>
      </w:ins>
      <w:del w:id="22" w:author="dperlin" w:date="2001-10-15T13:48:00Z">
        <w:r>
          <w:rPr>
            <w:rFonts w:cs="Arial Narrow" w:ascii="Arial Narrow" w:hAnsi="Arial Narrow"/>
            <w:sz w:val="18"/>
          </w:rPr>
          <w:delText xml:space="preserve">Guarantor shall have long-term debt unsupported by third party credit enhancement that is rated by Standard &amp; Poor's Corporation below BBB- </w:delText>
        </w:r>
      </w:del>
      <w:r>
        <w:rPr>
          <w:rFonts w:cs="Arial Narrow" w:ascii="Arial Narrow" w:hAnsi="Arial Narrow"/>
          <w:sz w:val="18"/>
        </w:rPr>
        <w:t>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2001-10-15T13:38:00Z</dcterms:created>
  <dc:creator>dperlin</dc:creator>
  <dc:description/>
  <dc:language>en-CA</dc:language>
  <cp:lastModifiedBy>dperlin</cp:lastModifiedBy>
  <cp:lastPrinted>2001-10-15T14:12:00Z</cp:lastPrinted>
  <dcterms:modified xsi:type="dcterms:W3CDTF">2001-10-15T17:05:00Z</dcterms:modified>
  <cp:revision>3</cp:revision>
  <dc:subject/>
  <dc:title>ENFOLIO® MASTER FIRM PURCHASE/SALE AGREEMENT</dc:title>
</cp:coreProperties>
</file>