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bCs/>
          <w:sz w:val="18"/>
        </w:rPr>
        <w:t>enovate, L.L.C.</w:t>
      </w:r>
      <w:r>
        <w:rPr>
          <w:rFonts w:cs="Arial Narrow" w:ascii="Arial Narrow" w:hAnsi="Arial Narrow"/>
          <w:sz w:val="18"/>
        </w:rPr>
        <w:t>, a Delaware limited liability company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Nicor Enerchange, L.L.C.</w:t>
      </w:r>
      <w:r>
        <w:rPr>
          <w:rFonts w:cs="Arial Narrow" w:ascii="Arial Narrow" w:hAnsi="Arial Narrow"/>
          <w:sz w:val="18"/>
        </w:rPr>
        <w:t>, a Delaware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and Customer may, at its expense maintain equipment necessary to regularly record Transactions on Transaction Tapes and retain Transaction Tapes in such manner as to protect its business records from improper access; provided, Neither Company nor Customer shall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shall confirm each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Force Majeure period or any part thereof.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NICOR ENERCHANGE L.L.C.</w:t>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O:Legal\Sdickson\Agreement\NicorEnerchangeFirma.doc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claiming sus</w:t>
        <w:softHyphen/>
        <w:t xml:space="preserve">pension, and which by the exercise of due diligence such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t>1844 Ferry Road</w:t>
      </w:r>
    </w:p>
    <w:p>
      <w:pPr>
        <w:pStyle w:val="Normal"/>
        <w:jc w:val="both"/>
        <w:rPr>
          <w:rFonts w:ascii="Arial Narrow" w:hAnsi="Arial Narrow" w:cs="Arial Narrow"/>
          <w:sz w:val="18"/>
        </w:rPr>
      </w:pPr>
      <w:r>
        <w:rPr>
          <w:rFonts w:cs="Arial Narrow" w:ascii="Arial Narrow" w:hAnsi="Arial Narrow"/>
          <w:sz w:val="18"/>
        </w:rPr>
        <w:t>Naperville, Illinois 69563-9600</w:t>
      </w:r>
    </w:p>
    <w:p>
      <w:pPr>
        <w:pStyle w:val="Normal"/>
        <w:jc w:val="both"/>
        <w:rPr>
          <w:rFonts w:ascii="Arial Narrow" w:hAnsi="Arial Narrow" w:cs="Arial Narrow"/>
          <w:sz w:val="18"/>
        </w:rPr>
      </w:pPr>
      <w:r>
        <w:rPr>
          <w:rFonts w:cs="Arial Narrow" w:ascii="Arial Narrow" w:hAnsi="Arial Narrow"/>
          <w:sz w:val="18"/>
        </w:rPr>
        <w:t>Attn:  Contract Administrator</w:t>
      </w:r>
    </w:p>
    <w:p>
      <w:pPr>
        <w:pStyle w:val="Normal"/>
        <w:jc w:val="both"/>
        <w:rPr>
          <w:rFonts w:ascii="Arial Narrow" w:hAnsi="Arial Narrow" w:cs="Arial Narrow"/>
          <w:sz w:val="18"/>
        </w:rPr>
      </w:pPr>
      <w:r>
        <w:rPr>
          <w:rFonts w:cs="Arial Narrow" w:ascii="Arial Narrow" w:hAnsi="Arial Narrow"/>
          <w:sz w:val="18"/>
        </w:rPr>
        <w:t>Phone: (630) 983-8676</w:t>
      </w:r>
    </w:p>
    <w:p>
      <w:pPr>
        <w:pStyle w:val="Normal"/>
        <w:jc w:val="both"/>
        <w:rPr>
          <w:rFonts w:ascii="Arial Narrow" w:hAnsi="Arial Narrow" w:cs="Arial Narrow"/>
          <w:sz w:val="18"/>
        </w:rPr>
      </w:pPr>
      <w:r>
        <w:rPr>
          <w:rFonts w:cs="Arial Narrow" w:ascii="Arial Narrow" w:hAnsi="Arial Narrow"/>
          <w:sz w:val="18"/>
        </w:rPr>
        <w:t>Fax:  (630) 983-0987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t>1844 Ferry Road</w:t>
      </w:r>
    </w:p>
    <w:p>
      <w:pPr>
        <w:pStyle w:val="Normal"/>
        <w:jc w:val="both"/>
        <w:rPr>
          <w:rFonts w:ascii="Arial Narrow" w:hAnsi="Arial Narrow" w:cs="Arial Narrow"/>
          <w:sz w:val="18"/>
        </w:rPr>
      </w:pPr>
      <w:r>
        <w:rPr>
          <w:rFonts w:cs="Arial Narrow" w:ascii="Arial Narrow" w:hAnsi="Arial Narrow"/>
          <w:sz w:val="18"/>
        </w:rPr>
        <w:t>Naperville, Illinois 69563-9600</w:t>
      </w:r>
    </w:p>
    <w:p>
      <w:pPr>
        <w:pStyle w:val="Normal"/>
        <w:jc w:val="both"/>
        <w:rPr>
          <w:rFonts w:ascii="Arial Narrow" w:hAnsi="Arial Narrow" w:cs="Arial Narrow"/>
          <w:sz w:val="18"/>
        </w:rPr>
      </w:pPr>
      <w:r>
        <w:rPr>
          <w:rFonts w:cs="Arial Narrow" w:ascii="Arial Narrow" w:hAnsi="Arial Narrow"/>
          <w:sz w:val="18"/>
        </w:rPr>
        <w:t>Attn:  Contract Administrator</w:t>
      </w:r>
    </w:p>
    <w:p>
      <w:pPr>
        <w:pStyle w:val="Normal"/>
        <w:jc w:val="both"/>
        <w:rPr>
          <w:rFonts w:ascii="Arial Narrow" w:hAnsi="Arial Narrow" w:cs="Arial Narrow"/>
          <w:sz w:val="18"/>
        </w:rPr>
      </w:pPr>
      <w:r>
        <w:rPr>
          <w:rFonts w:cs="Arial Narrow" w:ascii="Arial Narrow" w:hAnsi="Arial Narrow"/>
          <w:sz w:val="18"/>
        </w:rPr>
        <w:t>Phone: (630) 983-8676</w:t>
      </w:r>
    </w:p>
    <w:p>
      <w:pPr>
        <w:pStyle w:val="Normal"/>
        <w:jc w:val="both"/>
        <w:rPr>
          <w:rFonts w:ascii="Arial Narrow" w:hAnsi="Arial Narrow" w:cs="Arial Narrow"/>
          <w:sz w:val="18"/>
        </w:rPr>
      </w:pPr>
      <w:r>
        <w:rPr>
          <w:rFonts w:cs="Arial Narrow" w:ascii="Arial Narrow" w:hAnsi="Arial Narrow"/>
          <w:sz w:val="18"/>
        </w:rPr>
        <w:t>Fax:  (630) 983-0987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t>The Northern Trust</w:t>
      </w:r>
    </w:p>
    <w:p>
      <w:pPr>
        <w:pStyle w:val="Normal"/>
        <w:jc w:val="both"/>
        <w:rPr>
          <w:rFonts w:ascii="Arial Narrow" w:hAnsi="Arial Narrow" w:cs="Arial Narrow"/>
          <w:sz w:val="18"/>
        </w:rPr>
      </w:pPr>
      <w:r>
        <w:rPr>
          <w:rFonts w:cs="Arial Narrow" w:ascii="Arial Narrow" w:hAnsi="Arial Narrow"/>
          <w:sz w:val="18"/>
        </w:rPr>
        <w:t>Chicago, IL</w:t>
      </w:r>
    </w:p>
    <w:p>
      <w:pPr>
        <w:pStyle w:val="Normal"/>
        <w:jc w:val="both"/>
        <w:rPr>
          <w:rFonts w:ascii="Arial Narrow" w:hAnsi="Arial Narrow" w:cs="Arial Narrow"/>
          <w:sz w:val="18"/>
        </w:rPr>
      </w:pPr>
      <w:r>
        <w:rPr>
          <w:rFonts w:cs="Arial Narrow" w:ascii="Arial Narrow" w:hAnsi="Arial Narrow"/>
          <w:sz w:val="18"/>
        </w:rPr>
        <w:t>Account  91669</w:t>
      </w:r>
    </w:p>
    <w:p>
      <w:pPr>
        <w:pStyle w:val="Normal"/>
        <w:jc w:val="both"/>
        <w:rPr>
          <w:rFonts w:ascii="Arial Narrow" w:hAnsi="Arial Narrow" w:cs="Arial Narrow"/>
          <w:sz w:val="18"/>
        </w:rPr>
      </w:pPr>
      <w:r>
        <w:rPr>
          <w:rFonts w:cs="Arial Narrow" w:ascii="Arial Narrow" w:hAnsi="Arial Narrow"/>
          <w:sz w:val="18"/>
        </w:rPr>
        <w:t>ABA 071000152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/mnt/main-storage/datasets/enron-docs/doc/NicorEnerchangeMasterFirma.doc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2001-03-30T17:36:00Z</dcterms:created>
  <dc:creator>jdobern</dc:creator>
  <dc:description/>
  <dc:language>en-CA</dc:language>
  <cp:lastModifiedBy>sdickso</cp:lastModifiedBy>
  <cp:lastPrinted>2001-04-03T11:25:00Z</cp:lastPrinted>
  <dcterms:modified xsi:type="dcterms:W3CDTF">2001-04-03T13:55:00Z</dcterms:modified>
  <cp:revision>6</cp:revision>
  <dc:subject/>
  <dc:title>SAMPLE CONTRACT</dc:title>
</cp:coreProperties>
</file>