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rFonts w:ascii="Impact" w:hAnsi="Impact" w:cs="Impact"/>
                <w:color w:val="0000FF"/>
                <w:sz w:val="48"/>
              </w:rPr>
            </w:pPr>
            <w:r>
              <w:rPr>
                <w:rFonts w:cs="Impact" w:ascii="Impact" w:hAnsi="Impact"/>
                <w:color w:val="0000FF"/>
                <w:sz w:val="48"/>
              </w:rPr>
              <w:t>enovate</w:t>
            </w:r>
          </w:p>
          <w:p>
            <w:pPr>
              <w:pStyle w:val="Normal"/>
              <w:rPr/>
            </w:pPr>
            <w:r>
              <w:rPr>
                <w:rFonts w:cs="Tahoma" w:ascii="Tahoma" w:hAnsi="Tahoma"/>
                <w:sz w:val="40"/>
              </w:rPr>
              <w:tab/>
            </w:r>
            <w:r>
              <w:rPr>
                <w:rFonts w:cs="Arial" w:ascii="Arial" w:hAnsi="Arial"/>
                <w:color w:val="008000"/>
                <w:sz w:val="18"/>
              </w:rPr>
              <w:t>INNOVATIVE</w:t>
            </w:r>
            <w:r>
              <w:rPr>
                <w:rFonts w:cs="Arial" w:ascii="Arial" w:hAnsi="Arial"/>
                <w:color w:val="FF0000"/>
                <w:sz w:val="18"/>
              </w:rPr>
              <w:t xml:space="preserve"> ENERGY </w:t>
            </w:r>
            <w:r>
              <w:rPr>
                <w:rFonts w:cs="Arial" w:ascii="Arial" w:hAnsi="Arial"/>
                <w:color w:val="0000FF"/>
                <w:sz w:val="18"/>
              </w:rPr>
              <w:t>SOLUTIONS</w:t>
            </w:r>
          </w:p>
          <w:p>
            <w:pPr>
              <w:pStyle w:val="Normal"/>
              <w:rPr>
                <w:rFonts w:ascii="Arial" w:hAnsi="Arial" w:cs="Arial"/>
                <w:color w:val="0000FF"/>
                <w:sz w:val="18"/>
              </w:rPr>
            </w:pPr>
            <w:r>
              <w:rPr>
                <w:rFonts w:cs="Arial" w:ascii="Arial" w:hAnsi="Arial"/>
                <w:color w:val="0000FF"/>
                <w:sz w:val="18"/>
              </w:rPr>
            </w:r>
          </w:p>
          <w:p>
            <w:pPr>
              <w:pStyle w:val="Normal"/>
              <w:rPr>
                <w:rFonts w:ascii="Arial" w:hAnsi="Arial" w:cs="Arial"/>
                <w:color w:val="0000FF"/>
                <w:sz w:val="18"/>
              </w:rPr>
            </w:pPr>
            <w:r>
              <w:rPr>
                <w:rFonts w:cs="Arial" w:ascii="Arial" w:hAnsi="Arial"/>
                <w:color w:val="0000FF"/>
                <w:sz w:val="18"/>
              </w:rPr>
            </w:r>
          </w:p>
        </w:tc>
        <w:tc>
          <w:tcPr>
            <w:tcW w:w="4788" w:type="dxa"/>
            <w:tcBorders/>
          </w:tcPr>
          <w:p>
            <w:pPr>
              <w:pStyle w:val="Normal"/>
              <w:tabs>
                <w:tab w:val="clear" w:pos="720"/>
                <w:tab w:val="left" w:pos="2412" w:leader="none"/>
              </w:tabs>
              <w:ind w:start="1962" w:end="0"/>
              <w:rPr>
                <w:b/>
                <w:sz w:val="22"/>
              </w:rPr>
            </w:pPr>
            <w:r>
              <w:rPr>
                <w:b/>
                <w:sz w:val="22"/>
              </w:rPr>
              <w:t>enovate, L.L.C.</w:t>
            </w:r>
          </w:p>
          <w:p>
            <w:pPr>
              <w:pStyle w:val="Normal"/>
              <w:tabs>
                <w:tab w:val="clear" w:pos="720"/>
                <w:tab w:val="left" w:pos="2412" w:leader="none"/>
              </w:tabs>
              <w:ind w:start="1962" w:end="0"/>
              <w:rPr>
                <w:i/>
                <w:i/>
                <w:sz w:val="22"/>
              </w:rPr>
            </w:pPr>
            <w:r>
              <w:rPr>
                <w:i/>
                <w:sz w:val="22"/>
              </w:rPr>
              <w:t>150 N. Michigan Avenue</w:t>
            </w:r>
          </w:p>
          <w:p>
            <w:pPr>
              <w:pStyle w:val="Normal"/>
              <w:tabs>
                <w:tab w:val="clear" w:pos="720"/>
                <w:tab w:val="left" w:pos="2412" w:leader="none"/>
              </w:tabs>
              <w:ind w:start="1962" w:end="0"/>
              <w:rPr>
                <w:i/>
                <w:i/>
                <w:sz w:val="22"/>
              </w:rPr>
            </w:pPr>
            <w:r>
              <w:rPr>
                <w:i/>
                <w:sz w:val="22"/>
              </w:rPr>
              <w:t>Suite 3610</w:t>
            </w:r>
          </w:p>
          <w:p>
            <w:pPr>
              <w:pStyle w:val="Normal"/>
              <w:tabs>
                <w:tab w:val="clear" w:pos="720"/>
                <w:tab w:val="left" w:pos="2412" w:leader="none"/>
              </w:tabs>
              <w:ind w:start="1962" w:end="0"/>
              <w:rPr>
                <w:i/>
                <w:i/>
                <w:sz w:val="22"/>
              </w:rPr>
            </w:pPr>
            <w:r>
              <w:rPr>
                <w:i/>
                <w:sz w:val="22"/>
              </w:rPr>
              <w:t>Chicago, Illinois 60601</w:t>
            </w:r>
          </w:p>
          <w:p>
            <w:pPr>
              <w:pStyle w:val="Normal"/>
              <w:tabs>
                <w:tab w:val="clear" w:pos="720"/>
                <w:tab w:val="left" w:pos="2412" w:leader="none"/>
              </w:tabs>
              <w:ind w:start="1962" w:end="0"/>
              <w:rPr>
                <w:i/>
                <w:i/>
                <w:sz w:val="22"/>
              </w:rPr>
            </w:pPr>
            <w:r>
              <w:rPr>
                <w:i/>
                <w:sz w:val="22"/>
              </w:rPr>
              <w:t>Phone (312) 541-1231</w:t>
            </w:r>
          </w:p>
          <w:p>
            <w:pPr>
              <w:pStyle w:val="Heading1"/>
              <w:rPr/>
            </w:pPr>
            <w:r>
              <w:rPr/>
              <w:t>Fax (312) 541-2728</w:t>
            </w:r>
          </w:p>
        </w:tc>
      </w:tr>
    </w:tbl>
    <w:p>
      <w:pPr>
        <w:pStyle w:val="Caption"/>
        <w:rPr/>
      </w:pPr>
      <w:r>
        <w:rPr/>
        <w:t>DRAFT</w:t>
      </w:r>
    </w:p>
    <w:p>
      <w:pPr>
        <w:pStyle w:val="Normal"/>
        <w:jc w:val="center"/>
        <w:rPr/>
      </w:pPr>
      <w:r>
        <w:rPr/>
      </w:r>
    </w:p>
    <w:p>
      <w:pPr>
        <w:pStyle w:val="Normal"/>
        <w:jc w:val="center"/>
        <w:rPr/>
      </w:pPr>
      <w:r>
        <w:rPr/>
        <w:t>March 10, 2001</w:t>
      </w:r>
    </w:p>
    <w:p>
      <w:pPr>
        <w:pStyle w:val="Normal"/>
        <w:rPr/>
      </w:pPr>
      <w:r>
        <w:rPr/>
      </w:r>
    </w:p>
    <w:p>
      <w:pPr>
        <w:pStyle w:val="Normal"/>
        <w:rPr/>
      </w:pPr>
      <w:r>
        <w:rPr/>
        <w:t>Nicor Enerchange _______________</w:t>
      </w:r>
    </w:p>
    <w:p>
      <w:pPr>
        <w:pStyle w:val="Normal"/>
        <w:rPr/>
      </w:pPr>
      <w:r>
        <w:rPr/>
      </w:r>
    </w:p>
    <w:p>
      <w:pPr>
        <w:pStyle w:val="Normal"/>
        <w:rPr/>
      </w:pPr>
      <w:r>
        <w:rPr/>
      </w:r>
    </w:p>
    <w:p>
      <w:pPr>
        <w:pStyle w:val="Normal"/>
        <w:rPr/>
      </w:pPr>
      <w:r>
        <w:rPr/>
      </w:r>
    </w:p>
    <w:p>
      <w:pPr>
        <w:pStyle w:val="Normal"/>
        <w:numPr>
          <w:ilvl w:val="0"/>
          <w:numId w:val="0"/>
        </w:numPr>
        <w:jc w:val="center"/>
        <w:outlineLvl w:val="0"/>
        <w:rPr/>
      </w:pPr>
      <w:r>
        <w:rPr/>
        <w:t>TRANSACTION AGREEMENT</w:t>
      </w:r>
    </w:p>
    <w:p>
      <w:pPr>
        <w:pStyle w:val="Normal"/>
        <w:jc w:val="center"/>
        <w:rPr/>
      </w:pPr>
      <w:r>
        <w:rPr/>
      </w:r>
    </w:p>
    <w:p>
      <w:pPr>
        <w:pStyle w:val="Normal"/>
        <w:jc w:val="both"/>
        <w:rPr/>
      </w:pPr>
      <w:r>
        <w:rPr/>
        <w:t>This Transaction Agreement shall form and effectuate the agreement between Nicor Enerchange ___________("Nicor Enerchange" and "Customer") and enovate L.L.C. ("enovate" and "Company")  regarding the terms of the gas purchase and sale at the Natural Gas Pipeline Co. of America ("NGPL") Field Area between the parties.  Nicor Enerchange to purchase and receive ("Buyer") and enovate to sell and deliver ("Seller")  Transaction Agreement No. __</w:t>
      </w:r>
      <w:r>
        <w:rPr>
          <w:u w:val="single"/>
        </w:rPr>
        <w:t>2</w:t>
      </w:r>
      <w:r>
        <w:rPr/>
        <w:t>___.</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pPr>
            <w:r>
              <w:rPr>
                <w:b/>
                <w:bCs/>
              </w:rPr>
              <w:t>Term</w:t>
            </w:r>
            <w:r>
              <w:rPr/>
              <w:t>:</w:t>
            </w:r>
          </w:p>
        </w:tc>
        <w:tc>
          <w:tcPr>
            <w:tcW w:w="6228" w:type="dxa"/>
            <w:tcBorders/>
          </w:tcPr>
          <w:p>
            <w:pPr>
              <w:pStyle w:val="Normal"/>
              <w:jc w:val="both"/>
              <w:rPr/>
            </w:pPr>
            <w:r>
              <w:rPr/>
              <w:t>April 1, 2001 through December 31, 2001.</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pPr>
            <w:r>
              <w:rPr>
                <w:b/>
                <w:bCs/>
              </w:rPr>
              <w:t>MTV</w:t>
            </w:r>
            <w:r>
              <w:rPr/>
              <w:t xml:space="preserve">  </w:t>
            </w:r>
            <w:r>
              <w:rPr>
                <w:b/>
                <w:bCs/>
              </w:rPr>
              <w:t xml:space="preserve">(Maximum </w:t>
            </w:r>
          </w:p>
          <w:p>
            <w:pPr>
              <w:pStyle w:val="Normal"/>
              <w:tabs>
                <w:tab w:val="left" w:pos="720" w:leader="none"/>
              </w:tabs>
              <w:rPr>
                <w:b/>
                <w:bCs/>
              </w:rPr>
            </w:pPr>
            <w:r>
              <w:rPr>
                <w:b/>
                <w:bCs/>
              </w:rPr>
              <w:t xml:space="preserve">            </w:t>
            </w:r>
            <w:r>
              <w:rPr>
                <w:b/>
                <w:bCs/>
              </w:rPr>
              <w:t>Transaction Volume):</w:t>
            </w:r>
          </w:p>
        </w:tc>
        <w:tc>
          <w:tcPr>
            <w:tcW w:w="6228" w:type="dxa"/>
            <w:tcBorders/>
          </w:tcPr>
          <w:p>
            <w:pPr>
              <w:pStyle w:val="Normal"/>
              <w:snapToGrid w:val="false"/>
              <w:jc w:val="both"/>
              <w:rPr>
                <w:b/>
                <w:bCs/>
              </w:rPr>
            </w:pPr>
            <w:r>
              <w:rPr>
                <w:b/>
                <w:bCs/>
              </w:rPr>
            </w:r>
          </w:p>
          <w:p>
            <w:pPr>
              <w:pStyle w:val="Normal"/>
              <w:jc w:val="both"/>
              <w:rPr/>
            </w:pPr>
            <w:r>
              <w:rPr/>
              <w:t xml:space="preserve">500,000 MMBtu </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bCs/>
              </w:rPr>
            </w:pPr>
            <w:r>
              <w:rPr>
                <w:b/>
                <w:bCs/>
              </w:rPr>
              <w:t>MAXDQ:</w:t>
            </w:r>
          </w:p>
        </w:tc>
        <w:tc>
          <w:tcPr>
            <w:tcW w:w="6228" w:type="dxa"/>
            <w:tcBorders/>
          </w:tcPr>
          <w:p>
            <w:pPr>
              <w:pStyle w:val="Normal"/>
              <w:jc w:val="both"/>
              <w:rPr/>
            </w:pPr>
            <w:r>
              <w:rPr/>
              <w:t>10,000 MMBtu per day.</w:t>
            </w:r>
          </w:p>
        </w:tc>
      </w:tr>
      <w:tr>
        <w:trPr/>
        <w:tc>
          <w:tcPr>
            <w:tcW w:w="3348" w:type="dxa"/>
            <w:tcBorders/>
          </w:tcPr>
          <w:p>
            <w:pPr>
              <w:pStyle w:val="Normal"/>
              <w:snapToGrid w:val="false"/>
              <w:rPr>
                <w:b/>
                <w:bCs/>
              </w:rPr>
            </w:pPr>
            <w:r>
              <w:rPr>
                <w:b/>
                <w:bCs/>
              </w:rPr>
            </w:r>
          </w:p>
        </w:tc>
        <w:tc>
          <w:tcPr>
            <w:tcW w:w="6228" w:type="dxa"/>
            <w:tcBorders/>
          </w:tcPr>
          <w:p>
            <w:pPr>
              <w:pStyle w:val="Normal"/>
              <w:snapToGrid w:val="false"/>
              <w:jc w:val="both"/>
              <w:rPr>
                <w:b/>
                <w:bCs/>
              </w:rPr>
            </w:pPr>
            <w:r>
              <w:rPr>
                <w:b/>
                <w:bCs/>
              </w:rPr>
            </w:r>
          </w:p>
        </w:tc>
      </w:tr>
      <w:tr>
        <w:trPr/>
        <w:tc>
          <w:tcPr>
            <w:tcW w:w="3348" w:type="dxa"/>
            <w:tcBorders/>
          </w:tcPr>
          <w:p>
            <w:pPr>
              <w:pStyle w:val="Normal"/>
              <w:rPr>
                <w:b/>
                <w:bCs/>
              </w:rPr>
            </w:pPr>
            <w:r>
              <w:rPr>
                <w:b/>
                <w:bCs/>
              </w:rPr>
              <w:t>MINDQ:</w:t>
            </w:r>
          </w:p>
        </w:tc>
        <w:tc>
          <w:tcPr>
            <w:tcW w:w="6228" w:type="dxa"/>
            <w:tcBorders/>
          </w:tcPr>
          <w:p>
            <w:pPr>
              <w:pStyle w:val="Normal"/>
              <w:jc w:val="both"/>
              <w:rPr/>
            </w:pPr>
            <w:r>
              <w:rPr/>
              <w:t>0 MMBtu per day</w:t>
            </w:r>
          </w:p>
        </w:tc>
      </w:tr>
      <w:tr>
        <w:trPr/>
        <w:tc>
          <w:tcPr>
            <w:tcW w:w="3348" w:type="dxa"/>
            <w:tcBorders/>
          </w:tcPr>
          <w:p>
            <w:pPr>
              <w:pStyle w:val="Normal"/>
              <w:snapToGrid w:val="false"/>
              <w:rPr>
                <w:b/>
                <w:bCs/>
              </w:rPr>
            </w:pPr>
            <w:r>
              <w:rPr>
                <w:b/>
                <w:bCs/>
              </w:rPr>
            </w:r>
          </w:p>
        </w:tc>
        <w:tc>
          <w:tcPr>
            <w:tcW w:w="6228" w:type="dxa"/>
            <w:tcBorders/>
          </w:tcPr>
          <w:p>
            <w:pPr>
              <w:pStyle w:val="Normal"/>
              <w:snapToGrid w:val="false"/>
              <w:jc w:val="both"/>
              <w:rPr>
                <w:b/>
                <w:bCs/>
              </w:rPr>
            </w:pPr>
            <w:r>
              <w:rPr>
                <w:b/>
                <w:bCs/>
              </w:rPr>
            </w:r>
          </w:p>
        </w:tc>
      </w:tr>
      <w:tr>
        <w:trPr/>
        <w:tc>
          <w:tcPr>
            <w:tcW w:w="3348" w:type="dxa"/>
            <w:tcBorders/>
          </w:tcPr>
          <w:p>
            <w:pPr>
              <w:pStyle w:val="Normal"/>
              <w:rPr>
                <w:b/>
                <w:bCs/>
              </w:rPr>
            </w:pPr>
            <w:r>
              <w:rPr>
                <w:b/>
                <w:bCs/>
              </w:rPr>
              <w:t>Delivery Point:</w:t>
            </w:r>
          </w:p>
        </w:tc>
        <w:tc>
          <w:tcPr>
            <w:tcW w:w="6228" w:type="dxa"/>
            <w:tcBorders/>
          </w:tcPr>
          <w:p>
            <w:pPr>
              <w:pStyle w:val="Normal"/>
              <w:jc w:val="both"/>
              <w:rPr/>
            </w:pPr>
            <w:r>
              <w:rPr/>
              <w:t>NGPL TexOk (East)</w:t>
            </w:r>
          </w:p>
        </w:tc>
      </w:tr>
      <w:tr>
        <w:trPr/>
        <w:tc>
          <w:tcPr>
            <w:tcW w:w="3348" w:type="dxa"/>
            <w:tcBorders/>
          </w:tcPr>
          <w:p>
            <w:pPr>
              <w:pStyle w:val="Normal"/>
              <w:snapToGrid w:val="false"/>
              <w:rPr>
                <w:b/>
                <w:bCs/>
              </w:rPr>
            </w:pPr>
            <w:r>
              <w:rPr>
                <w:b/>
                <w:bCs/>
              </w:rPr>
            </w:r>
          </w:p>
        </w:tc>
        <w:tc>
          <w:tcPr>
            <w:tcW w:w="6228" w:type="dxa"/>
            <w:tcBorders/>
          </w:tcPr>
          <w:p>
            <w:pPr>
              <w:pStyle w:val="Normal"/>
              <w:snapToGrid w:val="false"/>
              <w:jc w:val="both"/>
              <w:rPr>
                <w:b/>
                <w:bCs/>
              </w:rPr>
            </w:pPr>
            <w:r>
              <w:rPr>
                <w:b/>
                <w:bCs/>
              </w:rPr>
            </w:r>
          </w:p>
        </w:tc>
      </w:tr>
      <w:tr>
        <w:trPr/>
        <w:tc>
          <w:tcPr>
            <w:tcW w:w="3348" w:type="dxa"/>
            <w:tcBorders/>
          </w:tcPr>
          <w:p>
            <w:pPr>
              <w:pStyle w:val="Normal"/>
              <w:rPr>
                <w:b/>
                <w:bCs/>
              </w:rPr>
            </w:pPr>
            <w:r>
              <w:rPr>
                <w:b/>
                <w:bCs/>
              </w:rPr>
              <w:t>Contract Price:</w:t>
            </w:r>
          </w:p>
        </w:tc>
        <w:tc>
          <w:tcPr>
            <w:tcW w:w="6228" w:type="dxa"/>
            <w:tcBorders/>
          </w:tcPr>
          <w:p>
            <w:pPr>
              <w:pStyle w:val="Normal"/>
              <w:jc w:val="both"/>
              <w:rPr/>
            </w:pPr>
            <w:r>
              <w:rPr/>
              <w:t>$0.33 per MMBtu of MTV which equals $165,000 over the  term of the Transaction.</w:t>
            </w:r>
          </w:p>
        </w:tc>
      </w:tr>
      <w:tr>
        <w:trPr/>
        <w:tc>
          <w:tcPr>
            <w:tcW w:w="3348" w:type="dxa"/>
            <w:tcBorders/>
          </w:tcPr>
          <w:p>
            <w:pPr>
              <w:pStyle w:val="Normal"/>
              <w:snapToGrid w:val="false"/>
              <w:rPr>
                <w:b/>
                <w:bCs/>
              </w:rPr>
            </w:pPr>
            <w:r>
              <w:rPr>
                <w:b/>
                <w:bCs/>
              </w:rPr>
            </w:r>
          </w:p>
        </w:tc>
        <w:tc>
          <w:tcPr>
            <w:tcW w:w="6228" w:type="dxa"/>
            <w:tcBorders/>
          </w:tcPr>
          <w:p>
            <w:pPr>
              <w:pStyle w:val="Normal"/>
              <w:snapToGrid w:val="false"/>
              <w:jc w:val="both"/>
              <w:rPr>
                <w:b/>
                <w:bCs/>
              </w:rPr>
            </w:pPr>
            <w:r>
              <w:rPr>
                <w:b/>
                <w:bCs/>
              </w:rPr>
            </w:r>
          </w:p>
        </w:tc>
      </w:tr>
      <w:tr>
        <w:trPr/>
        <w:tc>
          <w:tcPr>
            <w:tcW w:w="3348" w:type="dxa"/>
            <w:tcBorders/>
          </w:tcPr>
          <w:p>
            <w:pPr>
              <w:pStyle w:val="Normal"/>
              <w:rPr>
                <w:b/>
                <w:bCs/>
              </w:rPr>
            </w:pPr>
            <w:r>
              <w:rPr>
                <w:b/>
                <w:bCs/>
              </w:rPr>
              <w:t>Notification to enovate:</w:t>
            </w:r>
          </w:p>
        </w:tc>
        <w:tc>
          <w:tcPr>
            <w:tcW w:w="6228" w:type="dxa"/>
            <w:tcBorders/>
          </w:tcPr>
          <w:p>
            <w:pPr>
              <w:pStyle w:val="Normal"/>
              <w:jc w:val="both"/>
              <w:rPr/>
            </w:pPr>
            <w:r>
              <w:rPr/>
              <w:t xml:space="preserve">Nicor Enerchange shall notify enovate by </w:t>
            </w:r>
            <w:r>
              <w:rPr>
                <w:bCs/>
              </w:rPr>
              <w:t xml:space="preserve">10:45 a.m. Central prevailing time </w:t>
            </w:r>
            <w:r>
              <w:rPr/>
              <w:t>on the nomination day prior to gas flow.</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bCs/>
              </w:rPr>
            </w:pPr>
            <w:r>
              <w:rPr>
                <w:b/>
                <w:bCs/>
              </w:rPr>
              <w:t>Payment to enovate:</w:t>
            </w:r>
          </w:p>
        </w:tc>
        <w:tc>
          <w:tcPr>
            <w:tcW w:w="6228" w:type="dxa"/>
            <w:tcBorders/>
          </w:tcPr>
          <w:p>
            <w:pPr>
              <w:pStyle w:val="Normal"/>
              <w:rPr/>
            </w:pPr>
            <w:r>
              <w:rPr/>
              <w:t>Nicor Enerchange shall pay enovate $18,333.33 by the 25</w:t>
            </w:r>
            <w:r>
              <w:rPr>
                <w:vertAlign w:val="superscript"/>
              </w:rPr>
              <w:t>th</w:t>
            </w:r>
            <w:r>
              <w:rPr/>
              <w:t xml:space="preserve"> day each month during the term of the Transaction.</w:t>
            </w:r>
          </w:p>
        </w:tc>
      </w:tr>
    </w:tbl>
    <w:p>
      <w:pPr>
        <w:pStyle w:val="Normal"/>
        <w:tabs>
          <w:tab w:val="clear" w:pos="720"/>
          <w:tab w:val="left" w:pos="3330" w:leader="none"/>
        </w:tabs>
        <w:ind w:hanging="3330" w:start="3330" w:end="0"/>
        <w:rPr>
          <w:b/>
          <w:bCs/>
        </w:rPr>
      </w:pPr>
      <w:r>
        <w:rPr>
          <w:b/>
          <w:bCs/>
        </w:rPr>
      </w:r>
    </w:p>
    <w:p>
      <w:pPr>
        <w:pStyle w:val="Normal"/>
        <w:tabs>
          <w:tab w:val="clear" w:pos="720"/>
          <w:tab w:val="left" w:pos="3330" w:leader="none"/>
        </w:tabs>
        <w:ind w:hanging="3330" w:start="3330" w:end="0"/>
        <w:jc w:val="both"/>
        <w:rPr>
          <w:b/>
          <w:bCs/>
        </w:rPr>
      </w:pPr>
      <w:r>
        <w:rPr>
          <w:b/>
          <w:bCs/>
        </w:rPr>
      </w:r>
    </w:p>
    <w:p>
      <w:pPr>
        <w:pStyle w:val="Normal"/>
        <w:jc w:val="both"/>
        <w:rPr/>
      </w:pPr>
      <w:r>
        <w:rPr/>
        <w:t>This Transaction Agreement is being provided pursuant to and in accordance with the Master Firm Purchase/Sales Agreement dated effective as of April 1, 2001 between Customer and Company (the "Agreement"), and constitutes part of and is subject to all of the terms and provisions of such Agreement.  All capitalized terms herein used, but not defined, shall have the meanings set forth in the Agreement.  Any objection of Customer to this Transaction Agreement must be made by written notice to Company prior to the Confirm Deadline, as agreed and defined in the Agreement.</w:t>
      </w:r>
    </w:p>
    <w:p>
      <w:pPr>
        <w:pStyle w:val="Normal"/>
        <w:jc w:val="both"/>
        <w:rPr/>
      </w:pPr>
      <w:r>
        <w:rPr/>
      </w:r>
    </w:p>
    <w:p>
      <w:pPr>
        <w:pStyle w:val="Normal"/>
        <w:jc w:val="both"/>
        <w:rPr/>
      </w:pPr>
      <w:r>
        <w:rPr/>
        <w:t>Please confirm that the terms stated herein accurately reflect the agreement reached between Company and Customer by returning an executed copy of this letter to Company.</w:t>
      </w:r>
    </w:p>
    <w:p>
      <w:pPr>
        <w:pStyle w:val="Normal"/>
        <w:rPr/>
      </w:pPr>
      <w:r>
        <w:rPr/>
      </w:r>
    </w:p>
    <w:p>
      <w:pPr>
        <w:pStyle w:val="Heading2"/>
        <w:tabs>
          <w:tab w:val="clear" w:pos="720"/>
          <w:tab w:val="left" w:pos="5760" w:leader="none"/>
        </w:tabs>
        <w:ind w:hanging="5040" w:start="5040" w:end="0"/>
        <w:rPr/>
      </w:pPr>
      <w:r>
        <w:rPr/>
        <w:t>Nicor Enerchange ______________</w:t>
        <w:tab/>
        <w:t>enovate, L.L.C.</w:t>
      </w:r>
    </w:p>
    <w:p>
      <w:pPr>
        <w:pStyle w:val="Header"/>
        <w:tabs>
          <w:tab w:val="clear" w:pos="4320"/>
          <w:tab w:val="clear" w:pos="8640"/>
        </w:tabs>
        <w:ind w:firstLine="720" w:end="0"/>
        <w:rPr/>
      </w:pPr>
      <w:r>
        <w:rPr/>
        <w:tab/>
        <w:tab/>
        <w:tab/>
        <w:tab/>
        <w:tab/>
        <w:tab/>
        <w:tab/>
      </w:r>
    </w:p>
    <w:p>
      <w:pPr>
        <w:pStyle w:val="Normal"/>
        <w:ind w:firstLine="720" w:start="5040" w:end="0"/>
        <w:rPr/>
      </w:pPr>
      <w:r>
        <w:rPr/>
      </w:r>
    </w:p>
    <w:p>
      <w:pPr>
        <w:pStyle w:val="Header"/>
        <w:tabs>
          <w:tab w:val="clear" w:pos="4320"/>
          <w:tab w:val="clear" w:pos="8640"/>
        </w:tabs>
        <w:rPr/>
      </w:pPr>
      <w:r>
        <w:rPr/>
        <w:t>By: _________________________________</w:t>
        <w:tab/>
        <w:t>By: __________________________</w:t>
      </w:r>
    </w:p>
    <w:p>
      <w:pPr>
        <w:pStyle w:val="Header"/>
        <w:tabs>
          <w:tab w:val="clear" w:pos="4320"/>
          <w:tab w:val="clear" w:pos="8640"/>
        </w:tabs>
        <w:rPr/>
      </w:pPr>
      <w:r>
        <w:rPr/>
        <w:t>Title ________________________________</w:t>
        <w:tab/>
        <w:t>Title _________________________</w:t>
      </w:r>
    </w:p>
    <w:p>
      <w:pPr>
        <w:pStyle w:val="Header"/>
        <w:tabs>
          <w:tab w:val="clear" w:pos="4320"/>
          <w:tab w:val="clear" w:pos="8640"/>
        </w:tabs>
        <w:rPr/>
      </w:pPr>
      <w:r>
        <w:rPr/>
        <w:t>Date_________________________________</w:t>
        <w:tab/>
        <w:t>Date _________________________</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/mnt/main-storage/datasets/enron-docs/doc/NicorEnerchange2-71b3636063c0fd1958de7c9d81d4e901b603e605a28c54ad1daeaf0dc3adca0d.doc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/mnt/main-storage/datasets/enron-docs/doc/NicorEnerchange2-71b3636063c0fd1958de7c9d81d4e901b603e605a28c54ad1daeaf0dc3adca0d.doc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Nicor Enerchange ___________</w:t>
    </w:r>
  </w:p>
  <w:p>
    <w:pPr>
      <w:pStyle w:val="Header"/>
      <w:rPr/>
    </w:pPr>
    <w:r>
      <w:rPr/>
      <w:t>March 10, 2001</w:t>
    </w:r>
  </w:p>
  <w:p>
    <w:pPr>
      <w:pStyle w:val="Header"/>
      <w:rPr/>
    </w:pPr>
    <w:r>
      <w:rPr/>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3330" w:leader="none"/>
      </w:tabs>
      <w:ind w:hanging="3330" w:start="3330" w:end="0"/>
      <w:jc w:val="both"/>
      <w:outlineLvl w:val="3"/>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b/>
      <w:bCs/>
      <w:sz w:val="28"/>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18" w:start="0" w:end="0"/>
      <w:jc w:val="both"/>
    </w:pPr>
    <w:rPr/>
  </w:style>
  <w:style w:type="paragraph" w:styleId="BodyTextIndent3">
    <w:name w:val="Body Text Indent 3"/>
    <w:basedOn w:val="Normal"/>
    <w:qFormat/>
    <w:pPr>
      <w:tabs>
        <w:tab w:val="clear" w:pos="720"/>
        <w:tab w:val="left" w:pos="5040" w:leader="none"/>
        <w:tab w:val="left" w:pos="5760" w:leader="none"/>
      </w:tabs>
      <w:ind w:hanging="720" w:start="5760" w:end="0"/>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2001-03-12T13:27:00Z</dcterms:created>
  <dc:creator>ECT</dc:creator>
  <dc:description/>
  <dc:language>en-CA</dc:language>
  <cp:lastModifiedBy>sdickso</cp:lastModifiedBy>
  <cp:lastPrinted>2001-03-12T10:19:00Z</cp:lastPrinted>
  <dcterms:modified xsi:type="dcterms:W3CDTF">2001-03-12T13:49:00Z</dcterms:modified>
  <cp:revision>7</cp:revision>
  <dc:subject>El Paso Merchant Energy, L.P.</dc:subject>
  <dc:title>QL7588.1</dc:title>
</cp:coreProperties>
</file>