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Caption"/>
        <w:rPr/>
      </w:pPr>
      <w:r>
        <w:rPr/>
        <w:t>DRAFT</w:t>
      </w:r>
    </w:p>
    <w:p>
      <w:pPr>
        <w:pStyle w:val="Normal"/>
        <w:jc w:val="center"/>
        <w:rPr/>
      </w:pPr>
      <w:r>
        <w:rPr/>
      </w:r>
    </w:p>
    <w:p>
      <w:pPr>
        <w:pStyle w:val="Normal"/>
        <w:jc w:val="center"/>
        <w:rPr/>
      </w:pPr>
      <w:r>
        <w:rPr/>
        <w:t>March 10, 2001</w:t>
      </w:r>
    </w:p>
    <w:p>
      <w:pPr>
        <w:pStyle w:val="Normal"/>
        <w:rPr/>
      </w:pPr>
      <w:r>
        <w:rPr/>
      </w:r>
    </w:p>
    <w:p>
      <w:pPr>
        <w:pStyle w:val="Normal"/>
        <w:rPr/>
      </w:pPr>
      <w:r>
        <w:rPr/>
        <w:t>Nicor Enerchange_______________</w:t>
      </w:r>
    </w:p>
    <w:p>
      <w:pPr>
        <w:pStyle w:val="Normal"/>
        <w:rPr/>
      </w:pPr>
      <w:r>
        <w:rPr/>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This Transaction Agreement shall form and effectuate the agreement between Nicor Enerchange ___________("Nicor Enerchange" and "Customer") and enovate L.L.C. ("enovate" and "Company")  regarding the terms of the gas purchase and sale at the Natural Gas Pipeline Co. of America ("NGPL") Field Area between the parties.  enovate to purchase and receive ("Buyer") and Nicor Enerchange to sell and deliver ("Seller")  Transaction Agreement No. __</w:t>
      </w:r>
      <w:r>
        <w:rPr>
          <w:u w:val="single"/>
        </w:rPr>
        <w:t>1</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bCs/>
              </w:rPr>
              <w:t>Term</w:t>
            </w:r>
            <w:r>
              <w:rPr/>
              <w:t>:</w:t>
            </w:r>
          </w:p>
        </w:tc>
        <w:tc>
          <w:tcPr>
            <w:tcW w:w="6228" w:type="dxa"/>
            <w:tcBorders/>
          </w:tcPr>
          <w:p>
            <w:pPr>
              <w:pStyle w:val="Normal"/>
              <w:jc w:val="both"/>
              <w:rPr/>
            </w:pPr>
            <w:r>
              <w:rPr/>
              <w:t>April 1, 2001 through December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pPr>
            <w:r>
              <w:rPr>
                <w:b/>
                <w:bCs/>
              </w:rPr>
              <w:t>MTV</w:t>
            </w:r>
            <w:r>
              <w:rPr/>
              <w:t xml:space="preserve">  </w:t>
            </w:r>
            <w:r>
              <w:rPr>
                <w:b/>
                <w:bCs/>
              </w:rPr>
              <w:t xml:space="preserve">(Maximum </w:t>
            </w:r>
          </w:p>
          <w:p>
            <w:pPr>
              <w:pStyle w:val="Normal"/>
              <w:tabs>
                <w:tab w:val="left" w:pos="720" w:leader="none"/>
              </w:tabs>
              <w:rPr>
                <w:b/>
                <w:bCs/>
              </w:rPr>
            </w:pPr>
            <w:r>
              <w:rPr>
                <w:b/>
                <w:bCs/>
              </w:rPr>
              <w:t xml:space="preserve">            </w:t>
            </w:r>
            <w:r>
              <w:rPr>
                <w:b/>
                <w:bCs/>
              </w:rPr>
              <w:t>Transaction Volume):</w:t>
            </w:r>
          </w:p>
        </w:tc>
        <w:tc>
          <w:tcPr>
            <w:tcW w:w="6228" w:type="dxa"/>
            <w:tcBorders/>
          </w:tcPr>
          <w:p>
            <w:pPr>
              <w:pStyle w:val="Normal"/>
              <w:snapToGrid w:val="false"/>
              <w:jc w:val="both"/>
              <w:rPr>
                <w:b/>
                <w:bCs/>
              </w:rPr>
            </w:pPr>
            <w:r>
              <w:rPr>
                <w:b/>
                <w:bCs/>
              </w:rPr>
            </w:r>
          </w:p>
          <w:p>
            <w:pPr>
              <w:pStyle w:val="Normal"/>
              <w:jc w:val="both"/>
              <w:rPr/>
            </w:pPr>
            <w:r>
              <w:rPr/>
              <w:t xml:space="preserve">500,000 MMBtu </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bCs/>
              </w:rPr>
            </w:pPr>
            <w:r>
              <w:rPr>
                <w:b/>
                <w:bCs/>
              </w:rPr>
              <w:t>MAXDQ:</w:t>
            </w:r>
          </w:p>
        </w:tc>
        <w:tc>
          <w:tcPr>
            <w:tcW w:w="6228" w:type="dxa"/>
            <w:tcBorders/>
          </w:tcPr>
          <w:p>
            <w:pPr>
              <w:pStyle w:val="Normal"/>
              <w:jc w:val="both"/>
              <w:rPr/>
            </w:pPr>
            <w:r>
              <w:rPr/>
              <w:t>10,000 MMBtu per day.</w:t>
            </w:r>
          </w:p>
        </w:tc>
      </w:tr>
      <w:tr>
        <w:trPr/>
        <w:tc>
          <w:tcPr>
            <w:tcW w:w="3348" w:type="dxa"/>
            <w:tcBorders/>
          </w:tcPr>
          <w:p>
            <w:pPr>
              <w:pStyle w:val="Normal"/>
              <w:snapToGrid w:val="false"/>
              <w:rPr>
                <w:b/>
                <w:bCs/>
              </w:rPr>
            </w:pPr>
            <w:r>
              <w:rPr>
                <w:b/>
                <w:bCs/>
              </w:rPr>
            </w:r>
          </w:p>
        </w:tc>
        <w:tc>
          <w:tcPr>
            <w:tcW w:w="6228" w:type="dxa"/>
            <w:tcBorders/>
          </w:tcPr>
          <w:p>
            <w:pPr>
              <w:pStyle w:val="Normal"/>
              <w:snapToGrid w:val="false"/>
              <w:jc w:val="both"/>
              <w:rPr>
                <w:b/>
                <w:bCs/>
              </w:rPr>
            </w:pPr>
            <w:r>
              <w:rPr>
                <w:b/>
                <w:bCs/>
              </w:rPr>
            </w:r>
          </w:p>
        </w:tc>
      </w:tr>
      <w:tr>
        <w:trPr/>
        <w:tc>
          <w:tcPr>
            <w:tcW w:w="3348" w:type="dxa"/>
            <w:tcBorders/>
          </w:tcPr>
          <w:p>
            <w:pPr>
              <w:pStyle w:val="Normal"/>
              <w:rPr>
                <w:b/>
                <w:bCs/>
              </w:rPr>
            </w:pPr>
            <w:r>
              <w:rPr>
                <w:b/>
                <w:bCs/>
              </w:rPr>
              <w:t>MINDQ:</w:t>
            </w:r>
          </w:p>
        </w:tc>
        <w:tc>
          <w:tcPr>
            <w:tcW w:w="6228" w:type="dxa"/>
            <w:tcBorders/>
          </w:tcPr>
          <w:p>
            <w:pPr>
              <w:pStyle w:val="Normal"/>
              <w:jc w:val="both"/>
              <w:rPr/>
            </w:pPr>
            <w:r>
              <w:rPr/>
              <w:t>0 MMBtu per day</w:t>
            </w:r>
          </w:p>
        </w:tc>
      </w:tr>
      <w:tr>
        <w:trPr/>
        <w:tc>
          <w:tcPr>
            <w:tcW w:w="3348" w:type="dxa"/>
            <w:tcBorders/>
          </w:tcPr>
          <w:p>
            <w:pPr>
              <w:pStyle w:val="Normal"/>
              <w:snapToGrid w:val="false"/>
              <w:rPr>
                <w:b/>
                <w:bCs/>
              </w:rPr>
            </w:pPr>
            <w:r>
              <w:rPr>
                <w:b/>
                <w:bCs/>
              </w:rPr>
            </w:r>
          </w:p>
        </w:tc>
        <w:tc>
          <w:tcPr>
            <w:tcW w:w="6228" w:type="dxa"/>
            <w:tcBorders/>
          </w:tcPr>
          <w:p>
            <w:pPr>
              <w:pStyle w:val="Normal"/>
              <w:snapToGrid w:val="false"/>
              <w:jc w:val="both"/>
              <w:rPr>
                <w:b/>
                <w:bCs/>
              </w:rPr>
            </w:pPr>
            <w:r>
              <w:rPr>
                <w:b/>
                <w:bCs/>
              </w:rPr>
            </w:r>
          </w:p>
        </w:tc>
      </w:tr>
      <w:tr>
        <w:trPr/>
        <w:tc>
          <w:tcPr>
            <w:tcW w:w="3348" w:type="dxa"/>
            <w:tcBorders/>
          </w:tcPr>
          <w:p>
            <w:pPr>
              <w:pStyle w:val="Normal"/>
              <w:rPr>
                <w:b/>
                <w:bCs/>
              </w:rPr>
            </w:pPr>
            <w:r>
              <w:rPr>
                <w:b/>
                <w:bCs/>
              </w:rPr>
              <w:t>Delivery Point:</w:t>
            </w:r>
          </w:p>
        </w:tc>
        <w:tc>
          <w:tcPr>
            <w:tcW w:w="6228" w:type="dxa"/>
            <w:tcBorders/>
          </w:tcPr>
          <w:p>
            <w:pPr>
              <w:pStyle w:val="Normal"/>
              <w:jc w:val="both"/>
              <w:rPr/>
            </w:pPr>
            <w:r>
              <w:rPr/>
              <w:t>NGPL TexOk (East)</w:t>
            </w:r>
          </w:p>
        </w:tc>
      </w:tr>
      <w:tr>
        <w:trPr/>
        <w:tc>
          <w:tcPr>
            <w:tcW w:w="3348" w:type="dxa"/>
            <w:tcBorders/>
          </w:tcPr>
          <w:p>
            <w:pPr>
              <w:pStyle w:val="Normal"/>
              <w:snapToGrid w:val="false"/>
              <w:rPr>
                <w:b/>
                <w:bCs/>
              </w:rPr>
            </w:pPr>
            <w:r>
              <w:rPr>
                <w:b/>
                <w:bCs/>
              </w:rPr>
            </w:r>
          </w:p>
        </w:tc>
        <w:tc>
          <w:tcPr>
            <w:tcW w:w="6228" w:type="dxa"/>
            <w:tcBorders/>
          </w:tcPr>
          <w:p>
            <w:pPr>
              <w:pStyle w:val="Normal"/>
              <w:snapToGrid w:val="false"/>
              <w:jc w:val="both"/>
              <w:rPr>
                <w:b/>
                <w:bCs/>
              </w:rPr>
            </w:pPr>
            <w:r>
              <w:rPr>
                <w:b/>
                <w:bCs/>
              </w:rPr>
            </w:r>
          </w:p>
        </w:tc>
      </w:tr>
      <w:tr>
        <w:trPr/>
        <w:tc>
          <w:tcPr>
            <w:tcW w:w="3348" w:type="dxa"/>
            <w:tcBorders/>
          </w:tcPr>
          <w:p>
            <w:pPr>
              <w:pStyle w:val="Normal"/>
              <w:rPr>
                <w:b/>
                <w:bCs/>
              </w:rPr>
            </w:pPr>
            <w:r>
              <w:rPr>
                <w:b/>
                <w:bCs/>
              </w:rPr>
              <w:t>Contract Price:</w:t>
            </w:r>
          </w:p>
        </w:tc>
        <w:tc>
          <w:tcPr>
            <w:tcW w:w="6228" w:type="dxa"/>
            <w:tcBorders/>
          </w:tcPr>
          <w:p>
            <w:pPr>
              <w:pStyle w:val="Normal"/>
              <w:jc w:val="both"/>
              <w:rPr/>
            </w:pPr>
            <w:r>
              <w:rPr/>
              <w:t>$0.00 per MMBtu</w:t>
            </w:r>
          </w:p>
        </w:tc>
      </w:tr>
      <w:tr>
        <w:trPr/>
        <w:tc>
          <w:tcPr>
            <w:tcW w:w="3348" w:type="dxa"/>
            <w:tcBorders/>
          </w:tcPr>
          <w:p>
            <w:pPr>
              <w:pStyle w:val="Normal"/>
              <w:snapToGrid w:val="false"/>
              <w:rPr>
                <w:b/>
                <w:bCs/>
              </w:rPr>
            </w:pPr>
            <w:r>
              <w:rPr>
                <w:b/>
                <w:bCs/>
              </w:rPr>
            </w:r>
          </w:p>
        </w:tc>
        <w:tc>
          <w:tcPr>
            <w:tcW w:w="6228" w:type="dxa"/>
            <w:tcBorders/>
          </w:tcPr>
          <w:p>
            <w:pPr>
              <w:pStyle w:val="Normal"/>
              <w:snapToGrid w:val="false"/>
              <w:jc w:val="both"/>
              <w:rPr>
                <w:b/>
                <w:bCs/>
              </w:rPr>
            </w:pPr>
            <w:r>
              <w:rPr>
                <w:b/>
                <w:bCs/>
              </w:rPr>
            </w:r>
          </w:p>
        </w:tc>
      </w:tr>
      <w:tr>
        <w:trPr/>
        <w:tc>
          <w:tcPr>
            <w:tcW w:w="3348" w:type="dxa"/>
            <w:tcBorders/>
          </w:tcPr>
          <w:p>
            <w:pPr>
              <w:pStyle w:val="Normal"/>
              <w:rPr>
                <w:b/>
                <w:bCs/>
              </w:rPr>
            </w:pPr>
            <w:r>
              <w:rPr>
                <w:b/>
                <w:bCs/>
              </w:rPr>
              <w:t>Fuel Charge:</w:t>
            </w:r>
          </w:p>
        </w:tc>
        <w:tc>
          <w:tcPr>
            <w:tcW w:w="6228" w:type="dxa"/>
            <w:tcBorders/>
          </w:tcPr>
          <w:p>
            <w:pPr>
              <w:pStyle w:val="Normal"/>
              <w:jc w:val="both"/>
              <w:rPr/>
            </w:pPr>
            <w:r>
              <w:rPr/>
              <w:t>Nicor Enerchange shall be assessed a fuel charge equal to 1.7% per MMBtu delivered under this Transaction.</w:t>
            </w:r>
          </w:p>
        </w:tc>
      </w:tr>
      <w:tr>
        <w:trPr/>
        <w:tc>
          <w:tcPr>
            <w:tcW w:w="3348" w:type="dxa"/>
            <w:tcBorders/>
          </w:tcPr>
          <w:p>
            <w:pPr>
              <w:pStyle w:val="Normal"/>
              <w:snapToGrid w:val="false"/>
              <w:rPr>
                <w:b/>
                <w:bCs/>
              </w:rPr>
            </w:pPr>
            <w:r>
              <w:rPr>
                <w:b/>
                <w:bCs/>
              </w:rPr>
            </w:r>
          </w:p>
        </w:tc>
        <w:tc>
          <w:tcPr>
            <w:tcW w:w="6228" w:type="dxa"/>
            <w:tcBorders/>
          </w:tcPr>
          <w:p>
            <w:pPr>
              <w:pStyle w:val="Normal"/>
              <w:snapToGrid w:val="false"/>
              <w:jc w:val="both"/>
              <w:rPr>
                <w:b/>
                <w:bCs/>
              </w:rPr>
            </w:pPr>
            <w:r>
              <w:rPr>
                <w:b/>
                <w:bCs/>
              </w:rPr>
            </w:r>
          </w:p>
        </w:tc>
      </w:tr>
      <w:tr>
        <w:trPr/>
        <w:tc>
          <w:tcPr>
            <w:tcW w:w="3348" w:type="dxa"/>
            <w:tcBorders/>
          </w:tcPr>
          <w:p>
            <w:pPr>
              <w:pStyle w:val="Normal"/>
              <w:rPr>
                <w:b/>
                <w:bCs/>
              </w:rPr>
            </w:pPr>
            <w:r>
              <w:rPr>
                <w:b/>
                <w:bCs/>
              </w:rPr>
              <w:t>Notification to enovate:</w:t>
            </w:r>
          </w:p>
        </w:tc>
        <w:tc>
          <w:tcPr>
            <w:tcW w:w="6228" w:type="dxa"/>
            <w:tcBorders/>
          </w:tcPr>
          <w:p>
            <w:pPr>
              <w:pStyle w:val="Normal"/>
              <w:jc w:val="both"/>
              <w:rPr/>
            </w:pPr>
            <w:r>
              <w:rPr/>
              <w:t xml:space="preserve">Nicor Enerchange shall notify enovate by </w:t>
            </w:r>
            <w:r>
              <w:rPr>
                <w:bCs/>
              </w:rPr>
              <w:t>10:45 a.m.</w:t>
            </w:r>
            <w:r>
              <w:rPr/>
              <w:t xml:space="preserve"> Central Prevailing time on the nomination day prior to gas flow.</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bl>
    <w:p>
      <w:pPr>
        <w:pStyle w:val="Normal"/>
        <w:tabs>
          <w:tab w:val="clear" w:pos="720"/>
          <w:tab w:val="left" w:pos="3330" w:leader="none"/>
        </w:tabs>
        <w:ind w:hanging="3330" w:start="3330" w:end="0"/>
        <w:rPr>
          <w:b/>
          <w:bCs/>
        </w:rPr>
      </w:pPr>
      <w:r>
        <w:rPr>
          <w:b/>
          <w:bCs/>
        </w:rPr>
      </w:r>
    </w:p>
    <w:p>
      <w:pPr>
        <w:pStyle w:val="Normal"/>
        <w:tabs>
          <w:tab w:val="clear" w:pos="720"/>
          <w:tab w:val="left" w:pos="3330" w:leader="none"/>
        </w:tabs>
        <w:ind w:hanging="3330" w:start="3330" w:end="0"/>
        <w:jc w:val="both"/>
        <w:rPr>
          <w:b/>
          <w:bCs/>
        </w:rPr>
      </w:pPr>
      <w:r>
        <w:rPr>
          <w:b/>
          <w:bCs/>
        </w:rPr>
      </w:r>
    </w:p>
    <w:p>
      <w:pPr>
        <w:pStyle w:val="Normal"/>
        <w:jc w:val="both"/>
        <w:rPr/>
      </w:pPr>
      <w:r>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Heading2"/>
        <w:tabs>
          <w:tab w:val="clear" w:pos="720"/>
          <w:tab w:val="left" w:pos="5760" w:leader="none"/>
        </w:tabs>
        <w:ind w:hanging="5040" w:start="5040" w:end="0"/>
        <w:rPr/>
      </w:pPr>
      <w:r>
        <w:rPr/>
        <w:t>Nicor Enerchange ______________</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/mnt/main-storage/datasets/enron-docs/doc/NicorEnerchange1-58ce5acae00bfbbd7b1c597614c38e599369e16abe402eb59a1468a155e3d0ae.doc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/mnt/main-storage/datasets/enron-docs/doc/NicorEnerchange1-58ce5acae00bfbbd7b1c597614c38e599369e16abe402eb59a1468a155e3d0ae.doc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Nicor Enerchange __________</w:t>
    </w:r>
  </w:p>
  <w:p>
    <w:pPr>
      <w:pStyle w:val="Header"/>
      <w:rPr/>
    </w:pPr>
    <w:r>
      <w:rPr/>
      <w:t>March 10, 2001</w:t>
    </w:r>
  </w:p>
  <w:p>
    <w:pPr>
      <w:pStyle w:val="Header"/>
      <w:rPr/>
    </w:pPr>
    <w:r>
      <w:rPr/>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2001-03-09T18:11:00Z</dcterms:created>
  <dc:creator>ECT</dc:creator>
  <dc:description/>
  <dc:language>en-CA</dc:language>
  <cp:lastModifiedBy>sdickso</cp:lastModifiedBy>
  <cp:lastPrinted>2001-03-12T10:18:00Z</cp:lastPrinted>
  <dcterms:modified xsi:type="dcterms:W3CDTF">2001-03-12T13:48:00Z</dcterms:modified>
  <cp:revision>12</cp:revision>
  <dc:subject>El Paso Merchant Energy, L.P.</dc:subject>
  <dc:title>QL7588.1</dc:title>
</cp:coreProperties>
</file>