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30" w:type="dxa"/>
        <w:jc w:val="start"/>
        <w:tblInd w:w="1008" w:type="dxa"/>
        <w:tblLayout w:type="fixed"/>
        <w:tblCellMar>
          <w:top w:w="0" w:type="dxa"/>
          <w:start w:w="108" w:type="dxa"/>
          <w:bottom w:w="0" w:type="dxa"/>
          <w:end w:w="108" w:type="dxa"/>
        </w:tblCellMar>
      </w:tblPr>
      <w:tblGrid>
        <w:gridCol w:w="1440"/>
        <w:gridCol w:w="1800"/>
        <w:gridCol w:w="810"/>
        <w:gridCol w:w="2250"/>
        <w:gridCol w:w="2430"/>
      </w:tblGrid>
      <w:tr>
        <w:trPr>
          <w:trHeight w:val="90" w:hRule="atLeast"/>
        </w:trPr>
        <w:tc>
          <w:tcPr>
            <w:tcW w:w="1440" w:type="dxa"/>
            <w:tcBorders/>
            <w:vAlign w:val="center"/>
          </w:tcPr>
          <w:p>
            <w:pPr>
              <w:pStyle w:val="ReleaseDate"/>
              <w:rPr>
                <w:color w:val="000000"/>
              </w:rPr>
            </w:pPr>
            <w:r>
              <mc:AlternateContent>
                <mc:Choice Requires="wps">
                  <w:drawing>
                    <wp:anchor behindDoc="0" distT="0" distB="0" distL="114935" distR="114935" simplePos="0" locked="0" layoutInCell="0" allowOverlap="1" relativeHeight="3">
                      <wp:simplePos x="0" y="0"/>
                      <wp:positionH relativeFrom="margin">
                        <wp:posOffset>1153795</wp:posOffset>
                      </wp:positionH>
                      <wp:positionV relativeFrom="paragraph">
                        <wp:posOffset>-281940</wp:posOffset>
                      </wp:positionV>
                      <wp:extent cx="4937760" cy="0"/>
                      <wp:effectExtent l="0" t="1905" r="0" b="1905"/>
                      <wp:wrapNone/>
                      <wp:docPr id="1" name=""/>
                      <a:graphic xmlns:a="http://schemas.openxmlformats.org/drawingml/2006/main">
                        <a:graphicData uri="http://schemas.microsoft.com/office/word/2010/wordprocessingShape">
                          <wps:wsp>
                            <wps:cNvSpPr/>
                            <wps:spPr>
                              <a:xfrm flipH="1">
                                <a:off x="0" y="0"/>
                                <a:ext cx="4937760" cy="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90.85pt,-22.2pt" to="479.6pt,-22.2pt" stroked="t" o:allowincell="f" style="position:absolute;flip:x;mso-position-horizontal-relative:margin">
                      <v:stroke color="black" weight="3240" joinstyle="miter" endcap="flat"/>
                      <v:fill o:detectmouseclick="t" on="false"/>
                      <w10:wrap type="none"/>
                    </v:line>
                  </w:pict>
                </mc:Fallback>
              </mc:AlternateContent>
            </w:r>
            <w:r>
              <w:rPr>
                <w:color w:val="000000"/>
              </w:rPr>
              <w:t>CONTACT:</w:t>
            </w:r>
          </w:p>
        </w:tc>
        <w:tc>
          <w:tcPr>
            <w:tcW w:w="2610" w:type="dxa"/>
            <w:gridSpan w:val="2"/>
            <w:tcBorders/>
          </w:tcPr>
          <w:p>
            <w:pPr>
              <w:pStyle w:val="contactname"/>
              <w:jc w:val="start"/>
              <w:rPr/>
            </w:pPr>
            <w:r>
              <w:rPr>
                <w:color w:val="000000"/>
              </w:rPr>
              <w:fldChar w:fldCharType="begin"/>
            </w:r>
            <w:r>
              <w:rPr>
                <w:color w:val="000000"/>
              </w:rPr>
              <w:instrText xml:space="preserve"> FILLIN "MERGEFORMAT"</w:instrText>
            </w:r>
            <w:r>
              <w:rPr>
                <w:color w:val="000000"/>
              </w:rPr>
              <w:fldChar w:fldCharType="separate"/>
            </w:r>
            <w:r>
              <w:rPr>
                <w:color w:val="000000"/>
              </w:rPr>
            </w:r>
            <w:r>
              <w:rPr>
                <w:color w:val="000000"/>
              </w:rPr>
              <w:fldChar w:fldCharType="end"/>
            </w:r>
            <w:r>
              <w:rPr>
                <w:color w:val="000000"/>
              </w:rPr>
              <w:t>Armando Rendón</w:t>
            </w:r>
          </w:p>
        </w:tc>
        <w:tc>
          <w:tcPr>
            <w:tcW w:w="2250" w:type="dxa"/>
            <w:tcBorders/>
          </w:tcPr>
          <w:p>
            <w:pPr>
              <w:pStyle w:val="contactname"/>
              <w:jc w:val="start"/>
              <w:rPr>
                <w:color w:val="000000"/>
              </w:rPr>
            </w:pPr>
            <w:r>
              <w:rPr>
                <w:color w:val="000000"/>
              </w:rPr>
              <w:t>March 15, 2001</w:t>
            </w:r>
          </w:p>
        </w:tc>
        <w:tc>
          <w:tcPr>
            <w:tcW w:w="2430" w:type="dxa"/>
            <w:tcBorders/>
          </w:tcPr>
          <w:p>
            <w:pPr>
              <w:pStyle w:val="ReleaseDate"/>
              <w:rPr>
                <w:color w:val="000000"/>
              </w:rPr>
            </w:pPr>
            <w:r>
              <w:rPr>
                <w:color w:val="000000"/>
              </w:rPr>
              <w:t>CPUC: 022</w:t>
            </w:r>
          </w:p>
        </w:tc>
      </w:tr>
      <w:tr>
        <w:trPr>
          <w:trHeight w:val="263" w:hRule="atLeast"/>
        </w:trPr>
        <w:tc>
          <w:tcPr>
            <w:tcW w:w="1440" w:type="dxa"/>
            <w:tcBorders/>
          </w:tcPr>
          <w:p>
            <w:pPr>
              <w:pStyle w:val="ReleaseDate"/>
              <w:snapToGrid w:val="false"/>
              <w:rPr>
                <w:color w:val="000000"/>
                <w:sz w:val="22"/>
              </w:rPr>
            </w:pPr>
            <w:r>
              <w:rPr>
                <w:color w:val="000000"/>
                <w:sz w:val="22"/>
              </w:rPr>
            </w:r>
          </w:p>
        </w:tc>
        <w:tc>
          <w:tcPr>
            <w:tcW w:w="1800" w:type="dxa"/>
            <w:tcBorders/>
          </w:tcPr>
          <w:p>
            <w:pPr>
              <w:pStyle w:val="contactphone"/>
              <w:jc w:val="start"/>
              <w:rPr>
                <w:color w:val="000000"/>
              </w:rPr>
            </w:pPr>
            <w:r>
              <w:rPr>
                <w:color w:val="000000"/>
              </w:rPr>
              <w:t>415-703-1366</w:t>
            </w:r>
          </w:p>
        </w:tc>
        <w:tc>
          <w:tcPr>
            <w:tcW w:w="3060" w:type="dxa"/>
            <w:gridSpan w:val="2"/>
            <w:tcBorders/>
          </w:tcPr>
          <w:p>
            <w:pPr>
              <w:pStyle w:val="contactphone"/>
              <w:rPr>
                <w:color w:val="000000"/>
              </w:rPr>
            </w:pPr>
            <w:r>
              <w:rPr>
                <w:color w:val="000000"/>
              </w:rPr>
              <w:t>abr@cpuc.ca.gov</w:t>
            </w:r>
          </w:p>
        </w:tc>
        <w:tc>
          <w:tcPr>
            <w:tcW w:w="2430" w:type="dxa"/>
            <w:tcBorders/>
          </w:tcPr>
          <w:p>
            <w:pPr>
              <w:pStyle w:val="contactphone"/>
              <w:snapToGrid w:val="false"/>
              <w:ind w:hanging="0" w:end="0"/>
              <w:rPr>
                <w:color w:val="000000"/>
              </w:rPr>
            </w:pPr>
            <w:r>
              <w:rPr>
                <w:color w:val="000000"/>
              </w:rPr>
            </w:r>
          </w:p>
          <w:p>
            <w:pPr>
              <w:pStyle w:val="contactphone"/>
              <w:ind w:hanging="0" w:end="0"/>
              <w:rPr>
                <w:color w:val="000000"/>
              </w:rPr>
            </w:pPr>
            <w:r>
              <w:rPr>
                <w:color w:val="000000"/>
              </w:rPr>
            </w:r>
          </w:p>
        </w:tc>
      </w:tr>
    </w:tbl>
    <w:p>
      <w:pPr>
        <w:pStyle w:val="BodyText"/>
        <w:rPr>
          <w:rFonts w:ascii="Book Antiqua" w:hAnsi="Book Antiqua" w:cs="Book Antiqua"/>
          <w:b/>
          <w:color w:val="000000"/>
          <w:sz w:val="28"/>
        </w:rPr>
      </w:pPr>
      <w:r>
        <w:rPr>
          <w:rFonts w:cs="Book Antiqua" w:ascii="Book Antiqua" w:hAnsi="Book Antiqua"/>
          <w:b/>
          <w:color w:val="000000"/>
          <w:sz w:val="28"/>
        </w:rPr>
        <w:t>CPUC ANNOUNCES APPOINTMENT OF GARY M. COHEN</w:t>
      </w:r>
    </w:p>
    <w:p>
      <w:pPr>
        <w:pStyle w:val="BodyText"/>
        <w:rPr>
          <w:rFonts w:ascii="Book Antiqua" w:hAnsi="Book Antiqua" w:cs="Book Antiqua"/>
          <w:b/>
          <w:color w:val="000000"/>
          <w:sz w:val="28"/>
        </w:rPr>
      </w:pPr>
      <w:r>
        <w:rPr>
          <w:rFonts w:cs="Book Antiqua" w:ascii="Book Antiqua" w:hAnsi="Book Antiqua"/>
          <w:b/>
          <w:color w:val="000000"/>
          <w:sz w:val="28"/>
        </w:rPr>
        <w:t>AS NEW GENERAL COUNSEL</w:t>
      </w:r>
    </w:p>
    <w:p>
      <w:pPr>
        <w:pStyle w:val="BodyTextIndent"/>
        <w:rPr>
          <w:rFonts w:ascii="Book Antiqua" w:hAnsi="Book Antiqua" w:cs="Book Antiqua"/>
        </w:rPr>
      </w:pPr>
      <w:r>
        <w:rPr>
          <w:rFonts w:cs="Book Antiqua" w:ascii="Book Antiqua" w:hAnsi="Book Antiqua"/>
        </w:rPr>
        <w:t>The California Public Utilities Commission today announced the appointment of a new General Counsel, Gary M. Cohen, formerly a partner in the San Francisco litigation firm of Keker &amp; Van Nest.</w:t>
      </w:r>
    </w:p>
    <w:p>
      <w:pPr>
        <w:pStyle w:val="BodyTextIndent"/>
        <w:rPr>
          <w:rFonts w:ascii="Book Antiqua" w:hAnsi="Book Antiqua" w:cs="Book Antiqua"/>
        </w:rPr>
      </w:pPr>
      <w:r>
        <w:rPr>
          <w:rFonts w:cs="Book Antiqua" w:ascii="Book Antiqua" w:hAnsi="Book Antiqua"/>
        </w:rPr>
        <w:t xml:space="preserve">Mr. Cohen joined the firm in 1985, becoming a partner in 1988.  His practice emphasized representing businesses in large, complex civil cases and class actions, as well as white-collar criminal defense.  </w:t>
      </w:r>
    </w:p>
    <w:p>
      <w:pPr>
        <w:pStyle w:val="Normal"/>
        <w:rPr/>
      </w:pPr>
      <w:r>
        <w:rPr>
          <w:rFonts w:cs="Book Antiqua" w:ascii="Book Antiqua" w:hAnsi="Book Antiqua"/>
        </w:rPr>
        <w:t xml:space="preserve">He graduated </w:t>
      </w:r>
      <w:r>
        <w:rPr>
          <w:rFonts w:cs="Book Antiqua" w:ascii="Book Antiqua" w:hAnsi="Book Antiqua"/>
          <w:i/>
        </w:rPr>
        <w:t>magna cum laude</w:t>
      </w:r>
      <w:r>
        <w:rPr>
          <w:rFonts w:cs="Book Antiqua" w:ascii="Book Antiqua" w:hAnsi="Book Antiqua"/>
        </w:rPr>
        <w:t xml:space="preserve"> from Brown University in 1976.  He then attended Stanford University Law School, where he graduated second in his class in 1979, was awarded the Order of the Coif, and was a member of the Law Review.</w:t>
      </w:r>
    </w:p>
    <w:p>
      <w:pPr>
        <w:pStyle w:val="BodyText"/>
        <w:ind w:firstLine="720" w:end="0"/>
        <w:jc w:val="start"/>
        <w:rPr>
          <w:rFonts w:ascii="Book Antiqua" w:hAnsi="Book Antiqua" w:cs="Book Antiqua"/>
        </w:rPr>
      </w:pPr>
      <w:r>
        <w:rPr>
          <w:rFonts w:cs="Book Antiqua" w:ascii="Book Antiqua" w:hAnsi="Book Antiqua"/>
        </w:rPr>
        <w:t>Following law school, Mr. Cohen was an E. Barrett Prettyman Fellow in Georgetown University Law School’s Criminal Justice Clinic.  After two years at Georgetown, Gary was a Visiting Lecturer at Santa Clara University Law School, where he taught legal research and writing and lawyering skills.</w:t>
      </w:r>
    </w:p>
    <w:p>
      <w:pPr>
        <w:pStyle w:val="BodyText"/>
        <w:jc w:val="start"/>
        <w:rPr>
          <w:rFonts w:ascii="Book Antiqua" w:hAnsi="Book Antiqua" w:cs="Book Antiqua"/>
        </w:rPr>
      </w:pPr>
      <w:r>
        <w:rPr>
          <w:rFonts w:cs="Book Antiqua" w:ascii="Book Antiqua" w:hAnsi="Book Antiqua"/>
        </w:rPr>
        <w:tab/>
        <w:t>Mr. Cohen was then awarded a Henry Luce Scholarship, during which he worked at the United Nations Asia and Far East Institute for Prevention of Crime and Treatment of Offenders in Tokyo, Japan.  He next worked as a foreign legal advisor for the Matsuo &amp; Kosugi law firm, before returning to the U.S. and joining Keker and Van Nest.</w:t>
      </w:r>
    </w:p>
    <w:p>
      <w:pPr>
        <w:pStyle w:val="BodyText"/>
        <w:jc w:val="start"/>
        <w:rPr>
          <w:rFonts w:ascii="Book Antiqua" w:hAnsi="Book Antiqua" w:cs="Book Antiqua"/>
        </w:rPr>
      </w:pPr>
      <w:r>
        <w:rPr>
          <w:rFonts w:cs="Book Antiqua" w:ascii="Book Antiqua" w:hAnsi="Book Antiqua"/>
        </w:rPr>
        <w:tab/>
        <w:t>Mr. Cohen lives in San Francisco with his wife and two children.</w:t>
      </w:r>
    </w:p>
    <w:p>
      <w:pPr>
        <w:pStyle w:val="Thirty"/>
        <w:rPr/>
      </w:pPr>
      <w:r>
        <w:rPr/>
        <w:t>###</w:t>
      </w:r>
    </w:p>
    <w:p>
      <w:pPr>
        <w:pStyle w:val="BodyText"/>
        <w:jc w:val="start"/>
        <w:rPr>
          <w:rFonts w:ascii="Book Antiqua" w:hAnsi="Book Antiqua" w:cs="Book Antiqua"/>
        </w:rPr>
      </w:pPr>
      <w:r>
        <w:rPr>
          <w:rFonts w:cs="Book Antiqua" w:ascii="Book Antiqua" w:hAnsi="Book Antiqua"/>
        </w:rPr>
      </w:r>
    </w:p>
    <w:p>
      <w:pPr>
        <w:pStyle w:val="ReleasePara"/>
        <w:ind w:hanging="0" w:start="216" w:end="0"/>
        <w:rPr>
          <w:rFonts w:ascii="Book Antiqua" w:hAnsi="Book Antiqua" w:cs="Book Antiqua"/>
        </w:rPr>
      </w:pPr>
      <w:r>
        <w:rPr>
          <w:rFonts w:cs="Book Antiqua" w:ascii="Book Antiqua" w:hAnsi="Book Antiqua"/>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48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w:altName w:val="Bookman Old Style"/>
    <w:charset w:val="00" w:characterSet="windows-1252"/>
    <w:family w:val="roman"/>
    <w:pitch w:val="variable"/>
  </w:font>
  <w:font w:name="Arial Rounded MT Bold">
    <w:charset w:val="00" w:characterSet="windows-1252"/>
    <w:family w:val="swiss"/>
    <w:pitch w:val="variable"/>
  </w:font>
  <w:font w:name="Arial Black">
    <w:charset w:val="00" w:characterSet="windows-1252"/>
    <w:family w:val="swiss"/>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color w:val="000000"/>
      </w:rPr>
      <w:t xml:space="preserve">CPUC CANCELS HEARINGS ON PROPOSED PG&amp;E SALE, Page </w:t>
    </w: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r>
      <w:rPr>
        <w:color w:val="000000"/>
      </w:rPr>
      <w:t xml:space="preserve"> of </w:t>
    </w:r>
    <w:r>
      <w:rPr>
        <w:color w:val="000000"/>
      </w:rPr>
      <w:fldChar w:fldCharType="begin"/>
    </w:r>
    <w:r>
      <w:rPr>
        <w:color w:val="000000"/>
      </w:rPr>
      <w:instrText xml:space="preserve"> NUMPAGES \* ARABIC </w:instrText>
    </w:r>
    <w:r>
      <w:rPr>
        <w:color w:val="000000"/>
      </w:rPr>
      <w:fldChar w:fldCharType="separate"/>
    </w:r>
    <w:r>
      <w:rPr>
        <w:color w:val="000000"/>
      </w:rPr>
      <w:t>1</w:t>
    </w:r>
    <w:r>
      <w:rPr>
        <w:color w:val="00000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ind w:hanging="0" w:end="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60" w:type="dxa"/>
      <w:jc w:val="start"/>
      <w:tblInd w:w="-252" w:type="dxa"/>
      <w:tblLayout w:type="fixed"/>
      <w:tblCellMar>
        <w:top w:w="0" w:type="dxa"/>
        <w:start w:w="108" w:type="dxa"/>
        <w:bottom w:w="0" w:type="dxa"/>
        <w:end w:w="108" w:type="dxa"/>
      </w:tblCellMar>
    </w:tblPr>
    <w:tblGrid>
      <w:gridCol w:w="2160"/>
      <w:gridCol w:w="8100"/>
    </w:tblGrid>
    <w:tr>
      <w:trPr>
        <w:trHeight w:val="580" w:hRule="atLeast"/>
      </w:trPr>
      <w:tc>
        <w:tcPr>
          <w:tcW w:w="2160" w:type="dxa"/>
          <w:vMerge w:val="restart"/>
          <w:tcBorders/>
        </w:tcPr>
        <w:p>
          <w:pPr>
            <w:pStyle w:val="Normal"/>
            <w:tabs>
              <w:tab w:val="clear" w:pos="720"/>
              <w:tab w:val="left" w:pos="1710" w:leader="none"/>
            </w:tabs>
            <w:ind w:hanging="0" w:end="0"/>
            <w:jc w:val="end"/>
            <w:rPr/>
          </w:pPr>
          <w:r>
            <w:rPr/>
            <w:drawing>
              <wp:inline distT="0" distB="0" distL="0" distR="0">
                <wp:extent cx="1036320" cy="101790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64" t="-65" r="-64" b="-65"/>
                        <a:stretch>
                          <a:fillRect/>
                        </a:stretch>
                      </pic:blipFill>
                      <pic:spPr bwMode="auto">
                        <a:xfrm>
                          <a:off x="0" y="0"/>
                          <a:ext cx="1036320" cy="1017905"/>
                        </a:xfrm>
                        <a:prstGeom prst="rect">
                          <a:avLst/>
                        </a:prstGeom>
                        <a:noFill/>
                      </pic:spPr>
                    </pic:pic>
                  </a:graphicData>
                </a:graphic>
              </wp:inline>
            </w:drawing>
          </w:r>
        </w:p>
      </w:tc>
      <w:tc>
        <w:tcPr>
          <w:tcW w:w="8100" w:type="dxa"/>
          <w:tcBorders/>
          <w:vAlign w:val="center"/>
        </w:tcPr>
        <w:p>
          <w:pPr>
            <w:pStyle w:val="Heading1"/>
            <w:pBdr>
              <w:top w:val="nil"/>
            </w:pBdr>
            <w:jc w:val="start"/>
            <w:rPr>
              <w:sz w:val="40"/>
            </w:rPr>
          </w:pPr>
          <w:r>
            <w:rPr>
              <w:sz w:val="40"/>
            </w:rPr>
            <w:t>California Public Utilities Commission</w:t>
          </w:r>
        </w:p>
      </w:tc>
    </w:tr>
    <w:tr>
      <w:trPr>
        <w:trHeight w:val="414" w:hRule="atLeast"/>
      </w:trPr>
      <w:tc>
        <w:tcPr>
          <w:tcW w:w="2160" w:type="dxa"/>
          <w:vMerge w:val="continue"/>
          <w:tcBorders/>
        </w:tcPr>
        <w:p>
          <w:pPr>
            <w:pStyle w:val="Normal"/>
            <w:tabs>
              <w:tab w:val="clear" w:pos="720"/>
              <w:tab w:val="left" w:pos="1710" w:leader="none"/>
            </w:tabs>
            <w:snapToGrid w:val="false"/>
            <w:ind w:hanging="0" w:end="0"/>
            <w:jc w:val="end"/>
            <w:rPr>
              <w:sz w:val="22"/>
            </w:rPr>
          </w:pPr>
          <w:r>
            <w:rPr>
              <w:sz w:val="22"/>
            </w:rPr>
          </w:r>
        </w:p>
      </w:tc>
      <w:tc>
        <w:tcPr>
          <w:tcW w:w="8100" w:type="dxa"/>
          <w:tcBorders/>
          <w:vAlign w:val="center"/>
        </w:tcPr>
        <w:p>
          <w:pPr>
            <w:pStyle w:val="Heading1"/>
            <w:pBdr>
              <w:top w:val="nil"/>
            </w:pBdr>
            <w:rPr>
              <w:sz w:val="22"/>
            </w:rPr>
          </w:pPr>
          <w:r>
            <w:rPr>
              <w:rFonts w:eastAsia="Arial Rounded MT Bold"/>
              <w:sz w:val="22"/>
            </w:rPr>
            <w:t xml:space="preserve">                             </w:t>
          </w:r>
          <w:r>
            <w:rPr>
              <w:sz w:val="22"/>
            </w:rPr>
            <w:t>505 Van Ness Avenue, San Francisco, CA 94102</w:t>
          </w:r>
        </w:p>
      </w:tc>
    </w:tr>
    <w:tr>
      <w:trPr>
        <w:trHeight w:val="531" w:hRule="atLeast"/>
      </w:trPr>
      <w:tc>
        <w:tcPr>
          <w:tcW w:w="2160" w:type="dxa"/>
          <w:vMerge w:val="continue"/>
          <w:tcBorders/>
        </w:tcPr>
        <w:p>
          <w:pPr>
            <w:pStyle w:val="Normal"/>
            <w:tabs>
              <w:tab w:val="clear" w:pos="720"/>
              <w:tab w:val="left" w:pos="1710" w:leader="none"/>
            </w:tabs>
            <w:snapToGrid w:val="false"/>
            <w:ind w:hanging="0" w:end="0"/>
            <w:jc w:val="end"/>
            <w:rPr/>
          </w:pPr>
          <w:r>
            <w:rPr/>
          </w:r>
        </w:p>
      </w:tc>
      <w:tc>
        <w:tcPr>
          <w:tcW w:w="8100" w:type="dxa"/>
          <w:tcBorders/>
          <w:vAlign w:val="center"/>
        </w:tcPr>
        <w:p>
          <w:pPr>
            <w:pStyle w:val="Heading2"/>
            <w:spacing w:lineRule="auto" w:line="240"/>
            <w:ind w:hanging="0" w:start="0" w:end="0"/>
            <w:jc w:val="center"/>
            <w:rPr>
              <w:rFonts w:ascii="Arial" w:hAnsi="Arial" w:cs="Arial"/>
              <w:caps w:val="false"/>
              <w:smallCaps w:val="false"/>
            </w:rPr>
          </w:pPr>
          <w:r>
            <w:rPr>
              <w:rFonts w:eastAsia="Arial" w:cs="Arial" w:ascii="Arial" w:hAnsi="Arial"/>
              <w:caps w:val="false"/>
              <w:smallCaps w:val="false"/>
            </w:rPr>
            <w:t xml:space="preserve">                              </w:t>
          </w:r>
          <w:r>
            <w:rPr>
              <w:rFonts w:cs="Arial" w:ascii="Arial" w:hAnsi="Arial"/>
              <w:caps w:val="false"/>
              <w:smallCaps w:val="false"/>
            </w:rPr>
            <w:t>News Release</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ind w:firstLine="720" w:start="0" w:end="0"/>
    </w:pPr>
    <w:rPr>
      <w:rFonts w:ascii="Bookman;Bookman Old Style" w:hAnsi="Bookman;Bookman Old Style" w:eastAsia="Times New Roman" w:cs="Bookman;Bookman Old Style"/>
      <w:color w:val="auto"/>
      <w:sz w:val="24"/>
      <w:szCs w:val="20"/>
      <w:lang w:val="en-US" w:bidi="ar-SA" w:eastAsia="zh-CN"/>
    </w:rPr>
  </w:style>
  <w:style w:type="paragraph" w:styleId="Heading1">
    <w:name w:val="heading 1"/>
    <w:basedOn w:val="Normal"/>
    <w:next w:val="Normal"/>
    <w:qFormat/>
    <w:pPr>
      <w:keepNext w:val="true"/>
      <w:numPr>
        <w:ilvl w:val="0"/>
        <w:numId w:val="1"/>
      </w:numPr>
      <w:pBdr>
        <w:top w:val="single" w:sz="6" w:space="1" w:color="000000"/>
      </w:pBdr>
      <w:spacing w:lineRule="auto" w:line="240"/>
      <w:ind w:hanging="0" w:start="0" w:end="0"/>
      <w:jc w:val="center"/>
      <w:outlineLvl w:val="0"/>
    </w:pPr>
    <w:rPr>
      <w:rFonts w:ascii="Arial Rounded MT Bold" w:hAnsi="Arial Rounded MT Bold" w:cs="Arial Rounded MT Bold"/>
      <w:sz w:val="44"/>
    </w:rPr>
  </w:style>
  <w:style w:type="paragraph" w:styleId="Heading2">
    <w:name w:val="heading 2"/>
    <w:basedOn w:val="Normal"/>
    <w:next w:val="Normal"/>
    <w:qFormat/>
    <w:pPr>
      <w:keepNext w:val="true"/>
      <w:numPr>
        <w:ilvl w:val="1"/>
        <w:numId w:val="1"/>
      </w:numPr>
      <w:jc w:val="end"/>
      <w:outlineLvl w:val="1"/>
    </w:pPr>
    <w:rPr>
      <w:rFonts w:ascii="Arial Black" w:hAnsi="Arial Black" w:cs="Arial Black"/>
      <w:smallCaps/>
      <w:sz w:val="4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eleaseDate">
    <w:name w:val="ReleaseDate"/>
    <w:basedOn w:val="Normal"/>
    <w:qFormat/>
    <w:pPr>
      <w:tabs>
        <w:tab w:val="clear" w:pos="720"/>
        <w:tab w:val="left" w:pos="2880" w:leader="none"/>
      </w:tabs>
      <w:spacing w:lineRule="auto" w:line="240"/>
      <w:ind w:hanging="18" w:start="0" w:end="0"/>
      <w:jc w:val="end"/>
    </w:pPr>
    <w:rPr>
      <w:sz w:val="20"/>
    </w:rPr>
  </w:style>
  <w:style w:type="paragraph" w:styleId="ReleaseHead">
    <w:name w:val="ReleaseHead"/>
    <w:basedOn w:val="Normal"/>
    <w:qFormat/>
    <w:pPr>
      <w:spacing w:lineRule="auto" w:line="240" w:before="0" w:after="120"/>
      <w:ind w:hanging="0" w:start="0" w:end="0"/>
      <w:jc w:val="center"/>
      <w:outlineLvl w:val="0"/>
    </w:pPr>
    <w:rPr>
      <w:b/>
      <w:caps/>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affName">
    <w:name w:val="StaffName"/>
    <w:basedOn w:val="ReleaseDate"/>
    <w:next w:val="ReleaseHead"/>
    <w:qFormat/>
    <w:pPr>
      <w:tabs>
        <w:tab w:val="left" w:pos="2880" w:leader="none"/>
        <w:tab w:val="left" w:pos="3870" w:leader="none"/>
      </w:tabs>
      <w:spacing w:lineRule="auto" w:line="240"/>
      <w:ind w:hanging="0" w:start="0" w:end="0"/>
    </w:pPr>
    <w:rPr>
      <w:sz w:val="22"/>
    </w:rPr>
  </w:style>
  <w:style w:type="paragraph" w:styleId="ReleaseNo">
    <w:name w:val="Release No."/>
    <w:basedOn w:val="ReleaseDate"/>
    <w:qFormat/>
    <w:pPr/>
    <w:rPr/>
  </w:style>
  <w:style w:type="paragraph" w:styleId="contactname">
    <w:name w:val="contactname"/>
    <w:basedOn w:val="ReleaseDate"/>
    <w:qFormat/>
    <w:pPr/>
    <w:rPr>
      <w:sz w:val="20"/>
    </w:rPr>
  </w:style>
  <w:style w:type="paragraph" w:styleId="contactphone">
    <w:name w:val="contactphone"/>
    <w:basedOn w:val="ReleaseDate"/>
    <w:qFormat/>
    <w:pPr/>
    <w:rPr/>
  </w:style>
  <w:style w:type="paragraph" w:styleId="contacthdr">
    <w:name w:val="contacthdr"/>
    <w:basedOn w:val="ReleaseDate"/>
    <w:qFormat/>
    <w:pPr/>
    <w:rPr>
      <w:b/>
    </w:rPr>
  </w:style>
  <w:style w:type="paragraph" w:styleId="numberPrefix">
    <w:name w:val="numberPrefix"/>
    <w:basedOn w:val="ReleaseNo"/>
    <w:qFormat/>
    <w:pPr/>
    <w:rPr>
      <w:b/>
    </w:rPr>
  </w:style>
  <w:style w:type="paragraph" w:styleId="TableofAuthorities">
    <w:name w:val="Table of Authorities"/>
    <w:basedOn w:val="Normal"/>
    <w:next w:val="Normal"/>
    <w:qFormat/>
    <w:pPr>
      <w:ind w:hanging="240" w:start="240" w:end="0"/>
    </w:pPr>
    <w:rPr/>
  </w:style>
  <w:style w:type="paragraph" w:styleId="ReleasePara">
    <w:name w:val="ReleasePara"/>
    <w:basedOn w:val="ReleaseHead"/>
    <w:qFormat/>
    <w:pPr>
      <w:spacing w:lineRule="auto" w:line="360" w:before="0" w:after="0"/>
      <w:ind w:firstLine="720" w:start="0" w:end="0"/>
      <w:jc w:val="start"/>
    </w:pPr>
    <w:rPr>
      <w:b w:val="false"/>
      <w:caps w:val="false"/>
      <w:smallCaps w:val="false"/>
      <w:sz w:val="22"/>
    </w:rPr>
  </w:style>
  <w:style w:type="paragraph" w:styleId="Thirty">
    <w:name w:val="Thirty"/>
    <w:basedOn w:val="ReleasePara"/>
    <w:qFormat/>
    <w:pPr>
      <w:spacing w:lineRule="auto" w:line="240" w:before="120" w:after="0"/>
      <w:ind w:hanging="0" w:start="0" w:end="0"/>
      <w:jc w:val="center"/>
    </w:pPr>
    <w:rPr/>
  </w:style>
  <w:style w:type="paragraph" w:styleId="BodyTextIndent">
    <w:name w:val="Body Text Inden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Release template for webpub format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2001-03-21T19:05:00Z</dcterms:created>
  <dc:creator>Armando Rendon</dc:creator>
  <dc:description/>
  <dc:language>en-CA</dc:language>
  <cp:lastModifiedBy>Michelle Brown</cp:lastModifiedBy>
  <cp:lastPrinted>2001-03-15T12:54:00Z</cp:lastPrinted>
  <dcterms:modified xsi:type="dcterms:W3CDTF">2001-03-21T19:05:00Z</dcterms:modified>
  <cp:revision>2</cp:revision>
  <dc:subject/>
  <dc:title> </dc:title>
</cp:coreProperties>
</file>