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spacing w:before="400" w:after="120"/>
        <w:rPr>
          <w:rStyle w:val="MessageHeaderLabel"/>
          <w:lang w:val="en-CA"/>
        </w:rPr>
      </w:pPr>
      <w:r>
        <w:rPr>
          <w:lang w:val="en-CA"/>
        </w:rPr>
        <w:drawing>
          <wp:anchor behindDoc="0" distT="0" distB="0" distL="114935" distR="114935" simplePos="0" locked="0" layoutInCell="1" allowOverlap="1" relativeHeight="2">
            <wp:simplePos x="0" y="0"/>
            <wp:positionH relativeFrom="column">
              <wp:posOffset>-92710</wp:posOffset>
            </wp:positionH>
            <wp:positionV relativeFrom="paragraph">
              <wp:posOffset>-27940</wp:posOffset>
            </wp:positionV>
            <wp:extent cx="869950" cy="8509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1" t="-42" r="-41" b="-42"/>
                    <a:stretch>
                      <a:fillRect/>
                    </a:stretch>
                  </pic:blipFill>
                  <pic:spPr bwMode="auto">
                    <a:xfrm>
                      <a:off x="0" y="0"/>
                      <a:ext cx="869950" cy="850900"/>
                    </a:xfrm>
                    <a:prstGeom prst="rect">
                      <a:avLst/>
                    </a:prstGeom>
                    <a:noFill/>
                  </pic:spPr>
                </pic:pic>
              </a:graphicData>
            </a:graphic>
          </wp:anchor>
        </w:drawing>
      </w:r>
    </w:p>
    <w:p>
      <w:pPr>
        <w:pStyle w:val="DocumentLabel"/>
        <w:ind w:firstLine="120" w:start="-120" w:end="0"/>
        <w:rPr/>
      </w:pPr>
      <w:r>
        <w:rPr>
          <w:rStyle w:val="MessageHeaderLabel"/>
        </w:rPr>
        <w:t>To:</w:t>
        <w:tab/>
      </w:r>
      <w:r>
        <w:rPr>
          <w:rStyle w:val="MessageHeaderLabel"/>
          <w:rFonts w:cs="Arial" w:ascii="Arial" w:hAnsi="Arial"/>
          <w:b/>
          <w:sz w:val="20"/>
        </w:rPr>
        <w:t>HPLC</w:t>
      </w:r>
      <w:r>
        <w:rPr/>
        <w:tab/>
        <w:t xml:space="preserve"> </w:t>
      </w:r>
    </w:p>
    <w:p>
      <w:pPr>
        <w:pStyle w:val="MessageHeader"/>
        <w:rPr/>
      </w:pPr>
      <w:r>
        <w:rPr>
          <w:rStyle w:val="MessageHeaderLabel"/>
        </w:rPr>
        <w:t>From:</w:t>
      </w:r>
      <w:r>
        <w:rPr/>
        <w:tab/>
      </w:r>
      <w:r>
        <w:rPr>
          <w:b/>
        </w:rPr>
        <w:t>Steve Schneider</w:t>
      </w:r>
      <w:r>
        <w:rPr/>
        <w:t xml:space="preserve"> </w:t>
      </w:r>
    </w:p>
    <w:p>
      <w:pPr>
        <w:pStyle w:val="MessageHeader"/>
        <w:rPr>
          <w:sz w:val="24"/>
        </w:rPr>
      </w:pPr>
      <w:r>
        <w:rPr>
          <w:rStyle w:val="MessageHeaderLabel"/>
        </w:rPr>
        <w:t>Date:</w:t>
      </w:r>
      <w:r>
        <w:rPr/>
        <w:tab/>
      </w:r>
      <w:r>
        <w:rPr>
          <w:b/>
        </w:rPr>
        <w:t>1/10/2000</w:t>
      </w:r>
    </w:p>
    <w:p>
      <w:pPr>
        <w:pStyle w:val="MessageHeaderLast"/>
        <w:rPr/>
      </w:pPr>
      <w:r>
        <w:rPr>
          <w:rStyle w:val="MessageHeaderLabel"/>
        </w:rPr>
        <w:t>Re:</w:t>
      </w:r>
      <w:r>
        <w:rPr/>
        <w:tab/>
      </w:r>
      <w:r>
        <w:rPr>
          <w:b/>
        </w:rPr>
        <w:t>New Work Order Approval Process – Effective 1/10/2000</w:t>
      </w:r>
    </w:p>
    <w:p>
      <w:pPr>
        <w:pStyle w:val="BodyText"/>
        <w:rPr/>
      </w:pPr>
      <w:r>
        <w:rPr/>
        <w:t xml:space="preserve">As a conclusion from the cross-departmental meeting on 1/7/2000, the new work order approval process, as described below, will become effective </w:t>
      </w:r>
      <w:r>
        <w:rPr>
          <w:b/>
        </w:rPr>
        <w:t>immediately</w:t>
      </w:r>
      <w:r>
        <w:rPr/>
        <w:t xml:space="preserve">.  The new work order approval process is designed to help (1) expedite the approval process, (2) evaluate project economics, (3) ensure gas quality specs, and (4) minimize delays between business units.  This new process incorporates an economic model and a new work order form to be used for each prospective project.  </w:t>
      </w:r>
    </w:p>
    <w:p>
      <w:pPr>
        <w:pStyle w:val="BodyText2"/>
        <w:rPr>
          <w:rFonts w:ascii="Times New Roman" w:hAnsi="Times New Roman" w:cs="Times New Roman"/>
        </w:rPr>
      </w:pPr>
      <w:r>
        <w:rPr>
          <w:rFonts w:cs="Arial" w:ascii="Arial" w:hAnsi="Arial"/>
        </w:rPr>
        <w:t xml:space="preserve">Both the new work order form and the new economic model can be found on the common O drive: </w:t>
      </w:r>
      <w:r>
        <w:rPr>
          <w:rFonts w:cs="Arial" w:ascii="Arial" w:hAnsi="Arial"/>
          <w:b/>
        </w:rPr>
        <w:t>(O:/nga/asset/chen)</w:t>
      </w:r>
    </w:p>
    <w:p>
      <w:pPr>
        <w:pStyle w:val="Closing"/>
        <w:keepNext w:val="false"/>
        <w:spacing w:lineRule="auto" w:line="240"/>
        <w:rPr>
          <w:rFonts w:ascii="Times New Roman" w:hAnsi="Times New Roman" w:cs="Times New Roman"/>
        </w:rPr>
      </w:pPr>
      <w:r>
        <w:rPr>
          <w:rFonts w:cs="Times New Roman" w:ascii="Times New Roman" w:hAnsi="Times New Roman"/>
        </w:rPr>
      </w:r>
    </w:p>
    <w:p>
      <w:pPr>
        <w:pStyle w:val="Normal"/>
        <w:rPr/>
      </w:pPr>
      <w:r>
        <w:rPr/>
      </w:r>
    </w:p>
    <w:p>
      <w:pPr>
        <w:pStyle w:val="Normal"/>
        <w:rPr>
          <w:u w:val="single"/>
        </w:rPr>
      </w:pPr>
      <w:r>
        <w:rPr>
          <w:u w:val="single"/>
        </w:rPr>
        <w:t>Project Economics Model:</w:t>
      </w:r>
    </w:p>
    <w:p>
      <w:pPr>
        <w:pStyle w:val="Normal"/>
        <w:rPr>
          <w:u w:val="single"/>
        </w:rPr>
      </w:pPr>
      <w:r>
        <w:rPr>
          <w:u w:val="single"/>
        </w:rPr>
      </w:r>
    </w:p>
    <w:p>
      <w:pPr>
        <w:pStyle w:val="Normal"/>
        <w:rPr/>
      </w:pPr>
      <w:r>
        <w:rPr/>
        <w:t xml:space="preserve">The </w:t>
      </w:r>
      <w:r>
        <w:rPr>
          <w:b/>
        </w:rPr>
        <w:t>facility fee analysis</w:t>
      </w:r>
      <w:r>
        <w:rPr/>
        <w:t xml:space="preserve"> calculates the amount of revenue to the Asset book for new capital investments.  The fee is derived based on the capital expenditure, amortization period, term of the project, total transport and gas volumes, as well as all incremental expenses (e.g., Ad valorem tax, Gross tax receipt tax and incremental O&amp;M expenses).  This calculation is computed on a pre-tax basis.</w:t>
      </w:r>
    </w:p>
    <w:p>
      <w:pPr>
        <w:pStyle w:val="Normal"/>
        <w:rPr/>
      </w:pPr>
      <w:r>
        <w:rPr/>
      </w:r>
    </w:p>
    <w:p>
      <w:pPr>
        <w:pStyle w:val="Normal"/>
        <w:rPr/>
      </w:pPr>
      <w:r>
        <w:rPr/>
        <w:t xml:space="preserve">The </w:t>
      </w:r>
      <w:r>
        <w:rPr>
          <w:b/>
        </w:rPr>
        <w:t>project full-cost analysis</w:t>
      </w:r>
      <w:r>
        <w:rPr/>
        <w:t xml:space="preserve"> evaluates project profitability by accounting for all true costs associated with a prospective project.  In addition to the costs captured by the facility fee analysis mentioned above, this full-cost analysis includes the costs of legal, engineering and administrative expenses.  The full-cost analysis evaluates each prospective project on an after-tax basis. The mark-to-market calculation has not been modified from that previously used.  </w:t>
      </w:r>
    </w:p>
    <w:p>
      <w:pPr>
        <w:pStyle w:val="Normal"/>
        <w:rPr/>
      </w:pPr>
      <w:r>
        <w:rPr/>
      </w:r>
    </w:p>
    <w:p>
      <w:pPr>
        <w:pStyle w:val="Normal"/>
        <w:rPr/>
      </w:pPr>
      <w:r>
        <w:rPr/>
        <w:t>Will Chen will be responsible for the maintenance and distribution of the economic model.  He will have primary responsibility for revising and refining the various components of the model.  Additionally, he will work with Vance Taylor and Jackie Nelson in maintaining the facility fee reports needed to update the Asset book.</w:t>
      </w:r>
    </w:p>
    <w:p>
      <w:pPr>
        <w:pStyle w:val="Normal"/>
        <w:rPr/>
      </w:pPr>
      <w:r>
        <w:rPr/>
      </w:r>
    </w:p>
    <w:p>
      <w:pPr>
        <w:pStyle w:val="BodyText2"/>
        <w:rPr>
          <w:rFonts w:ascii="Arial" w:hAnsi="Arial" w:cs="Arial"/>
          <w:u w:val="single"/>
        </w:rPr>
      </w:pPr>
      <w:r>
        <w:rPr>
          <w:rFonts w:cs="Arial" w:ascii="Arial" w:hAnsi="Arial"/>
          <w:u w:val="single"/>
        </w:rPr>
        <w:t>Commercial and Facility Planning Roles:</w:t>
      </w:r>
    </w:p>
    <w:p>
      <w:pPr>
        <w:pStyle w:val="BodyText2"/>
        <w:rPr>
          <w:rFonts w:ascii="Arial" w:hAnsi="Arial" w:cs="Arial"/>
          <w:u w:val="single"/>
        </w:rPr>
      </w:pPr>
      <w:r>
        <w:rPr>
          <w:rFonts w:cs="Arial" w:ascii="Arial" w:hAnsi="Arial"/>
          <w:u w:val="single"/>
        </w:rPr>
      </w:r>
    </w:p>
    <w:p>
      <w:pPr>
        <w:pStyle w:val="BodyText2"/>
        <w:rPr/>
      </w:pPr>
      <w:r>
        <w:rPr>
          <w:rFonts w:cs="Arial" w:ascii="Arial" w:hAnsi="Arial"/>
        </w:rPr>
        <w:t xml:space="preserve">George Weissman is to ensure that facility planning has reviewed each proposed </w:t>
      </w:r>
      <w:r>
        <w:rPr>
          <w:rFonts w:cs="Arial" w:ascii="Arial" w:hAnsi="Arial"/>
          <w:b/>
        </w:rPr>
        <w:t>well-connect</w:t>
      </w:r>
      <w:r>
        <w:rPr>
          <w:rFonts w:cs="Arial" w:ascii="Arial" w:hAnsi="Arial"/>
        </w:rPr>
        <w:t xml:space="preserve"> deal for gas quality and capacity implications.  Further, each </w:t>
      </w:r>
      <w:r>
        <w:rPr>
          <w:rFonts w:cs="Arial" w:ascii="Arial" w:hAnsi="Arial"/>
          <w:b/>
        </w:rPr>
        <w:t>originating sponsor</w:t>
      </w:r>
      <w:r>
        <w:rPr>
          <w:rFonts w:cs="Arial" w:ascii="Arial" w:hAnsi="Arial"/>
        </w:rPr>
        <w:t xml:space="preserve"> is responsible for ensuring that the contractual specs align with the specs as depicted on the authorized work order.  The new work order form will bring accountability to this process.  The work order will require execution by authorized commercial and facility planning personnel </w:t>
      </w:r>
      <w:r>
        <w:rPr>
          <w:rFonts w:cs="Arial" w:ascii="Arial" w:hAnsi="Arial"/>
          <w:b/>
        </w:rPr>
        <w:t>prior</w:t>
      </w:r>
      <w:r>
        <w:rPr>
          <w:rFonts w:cs="Arial" w:ascii="Arial" w:hAnsi="Arial"/>
        </w:rPr>
        <w:t xml:space="preserve"> to being sent to accounting for processing.  It is the responsibility of the commercial party to complete the gas quality spec section on the work order form prior to facility planning's execution.  Greg Sharp and Nick Cocavessis need to designate who within their staff is authorized to execute on behalf of their group, communicating such to asset management with any limitations to any person's authorization level. </w:t>
      </w:r>
    </w:p>
    <w:p>
      <w:pPr>
        <w:pStyle w:val="Normal"/>
        <w:rPr>
          <w:rFonts w:ascii="Arial" w:hAnsi="Arial" w:cs="Arial"/>
        </w:rPr>
      </w:pPr>
      <w:r>
        <w:rPr>
          <w:rFonts w:cs="Arial"/>
        </w:rPr>
      </w:r>
    </w:p>
    <w:p>
      <w:pPr>
        <w:pStyle w:val="Normal"/>
        <w:rPr>
          <w:u w:val="single"/>
        </w:rPr>
      </w:pPr>
      <w:r>
        <w:rPr>
          <w:u w:val="single"/>
        </w:rPr>
        <w:t>Work Order Approval requirements:</w:t>
      </w:r>
    </w:p>
    <w:p>
      <w:pPr>
        <w:pStyle w:val="Normal"/>
        <w:rPr>
          <w:u w:val="single"/>
        </w:rPr>
      </w:pPr>
      <w:r>
        <w:rPr>
          <w:u w:val="single"/>
        </w:rPr>
      </w:r>
    </w:p>
    <w:p>
      <w:pPr>
        <w:pStyle w:val="Normal"/>
        <w:rPr/>
      </w:pPr>
      <w:r>
        <w:rPr/>
        <w:t>To sum up, each work order should be submitted with the following documents for management approval: (1) Robert Cook’s volumetric projection forecast (for well connect projects), (2) a facility planning approval sheet, and (3) a copy of the appropriate economic analysis.</w:t>
      </w:r>
    </w:p>
    <w:p>
      <w:pPr>
        <w:pStyle w:val="BodyText2"/>
        <w:rPr>
          <w:rFonts w:ascii="Arial" w:hAnsi="Arial" w:cs="Arial"/>
        </w:rPr>
      </w:pPr>
      <w:r>
        <w:rPr>
          <w:rFonts w:cs="Arial" w:ascii="Arial" w:hAnsi="Arial"/>
        </w:rPr>
      </w:r>
    </w:p>
    <w:p>
      <w:pPr>
        <w:pStyle w:val="Normal"/>
        <w:rPr/>
      </w:pPr>
      <w:r>
        <w:rPr/>
        <w:t xml:space="preserve">If you have any questions or need further clarification, please call. </w:t>
      </w:r>
    </w:p>
    <w:p>
      <w:pPr>
        <w:pStyle w:val="BodyText"/>
        <w:spacing w:lineRule="auto" w:line="240" w:before="0" w:after="120"/>
        <w:rPr/>
      </w:pPr>
      <w:r>
        <w:rPr/>
      </w:r>
    </w:p>
    <w:p>
      <w:pPr>
        <w:pStyle w:val="BodyText"/>
        <w:rPr>
          <w:sz w:val="24"/>
        </w:rPr>
      </w:pPr>
      <w:r>
        <w:rPr>
          <w:sz w:val="24"/>
        </w:rPr>
      </w:r>
    </w:p>
    <w:p>
      <w:pPr>
        <w:pStyle w:val="BodyText"/>
        <w:spacing w:before="0" w:after="220"/>
        <w:rPr>
          <w:sz w:val="24"/>
        </w:rPr>
      </w:pPr>
      <w:r>
        <w:rPr>
          <w:sz w:val="24"/>
        </w:rPr>
      </w:r>
    </w:p>
    <w:sectPr>
      <w:footerReference w:type="default" r:id="rId3"/>
      <w:footerReference w:type="first" r:id="rId4"/>
      <w:type w:val="nextPage"/>
      <w:pgSz w:w="12240" w:h="15840"/>
      <w:pgMar w:left="1800" w:right="1800" w:gutter="0" w:header="0" w:top="1440" w:footer="9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spacing w:val="-5"/>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paragraph" w:styleId="Heading6">
    <w:name w:val="heading 6"/>
    <w:basedOn w:val="Normal"/>
    <w:next w:val="Normal"/>
    <w:qFormat/>
    <w:pPr>
      <w:keepNext w:val="true"/>
      <w:numPr>
        <w:ilvl w:val="5"/>
        <w:numId w:val="1"/>
      </w:numPr>
      <w:jc w:val="both"/>
      <w:outlineLvl w:val="5"/>
    </w:pPr>
    <w:rPr>
      <w:b/>
      <w:sz w:val="24"/>
      <w:u w:val="single"/>
    </w:rPr>
  </w:style>
  <w:style w:type="character" w:styleId="WW8Num1z0">
    <w:name w:val="WW8Num1z0"/>
    <w:qFormat/>
    <w:rPr/>
  </w:style>
  <w:style w:type="character" w:styleId="WW8Num2z0">
    <w:name w:val="WW8Num2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rFonts w:ascii="Arial" w:hAnsi="Arial" w:cs="Arial"/>
      <w:spacing w:val="-5"/>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spacing w:val="-5"/>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BodyText2">
    <w:name w:val="Body Text 2"/>
    <w:basedOn w:val="Normal"/>
    <w:qFormat/>
    <w:pPr/>
    <w:rPr>
      <w:rFonts w:ascii="Helv" w:hAnsi="Helv" w:cs="Helv"/>
      <w:color w:val="000000"/>
      <w:lang w:eastAsia="en-U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Kathy's 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2000-01-11T12:13:00Z</dcterms:created>
  <dc:creator>kbenedi</dc:creator>
  <dc:description/>
  <dc:language>en-CA</dc:language>
  <cp:lastModifiedBy>Will Chen</cp:lastModifiedBy>
  <cp:lastPrinted>2000-01-10T17:27:00Z</cp:lastPrinted>
  <dcterms:modified xsi:type="dcterms:W3CDTF">2000-01-11T12:13:00Z</dcterms:modified>
  <cp:revision>2</cp:revision>
  <dc:subject/>
  <dc:title>Memo</dc:title>
</cp:coreProperties>
</file>