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sz w:val="22"/>
        </w:rPr>
      </w:pPr>
      <w:r>
        <w:rPr>
          <w:rFonts w:cs="Arial" w:ascii="Arial" w:hAnsi="Arial"/>
          <w:sz w:val="22"/>
        </w:rPr>
      </w:r>
    </w:p>
    <w:p>
      <w:pPr>
        <w:pStyle w:val="Heading"/>
        <w:rPr>
          <w:rFonts w:ascii="Arial" w:hAnsi="Arial" w:cs="Arial"/>
          <w:sz w:val="22"/>
        </w:rPr>
      </w:pPr>
      <w:r>
        <w:rPr>
          <w:rFonts w:cs="Arial" w:ascii="Arial" w:hAnsi="Arial"/>
          <w:sz w:val="22"/>
        </w:rPr>
        <w:t>Initial Sectors and Criteria Model</w:t>
      </w:r>
    </w:p>
    <w:p>
      <w:pPr>
        <w:pStyle w:val="Heading"/>
        <w:rPr>
          <w:rFonts w:ascii="Arial" w:hAnsi="Arial" w:cs="Arial"/>
          <w:sz w:val="22"/>
        </w:rPr>
      </w:pPr>
      <w:r>
        <w:rPr>
          <w:rFonts w:cs="Arial" w:ascii="Arial" w:hAnsi="Arial"/>
          <w:sz w:val="22"/>
        </w:rPr>
      </w:r>
    </w:p>
    <w:p>
      <w:pPr>
        <w:pStyle w:val="Normal"/>
        <w:numPr>
          <w:ilvl w:val="0"/>
          <w:numId w:val="2"/>
        </w:numPr>
        <w:rPr>
          <w:rFonts w:ascii="Arial" w:hAnsi="Arial" w:cs="Arial"/>
          <w:b/>
          <w:bCs/>
          <w:sz w:val="22"/>
        </w:rPr>
      </w:pPr>
      <w:r>
        <w:rPr>
          <w:rFonts w:cs="Arial" w:ascii="Arial" w:hAnsi="Arial"/>
          <w:b/>
          <w:bCs/>
          <w:sz w:val="22"/>
        </w:rPr>
        <w:t>Transmission Sector</w:t>
      </w:r>
    </w:p>
    <w:p>
      <w:pPr>
        <w:pStyle w:val="Normal"/>
        <w:numPr>
          <w:ilvl w:val="1"/>
          <w:numId w:val="2"/>
        </w:numPr>
        <w:rPr>
          <w:rFonts w:ascii="Arial" w:hAnsi="Arial" w:cs="Arial"/>
          <w:sz w:val="22"/>
        </w:rPr>
      </w:pPr>
      <w:r>
        <w:rPr>
          <w:rFonts w:cs="Arial" w:ascii="Arial" w:hAnsi="Arial"/>
          <w:sz w:val="22"/>
        </w:rPr>
        <w:t>Any electric utility that owns or controls at least 200 circuit miles of transmission facilities</w:t>
      </w:r>
    </w:p>
    <w:p>
      <w:pPr>
        <w:pStyle w:val="Normal"/>
        <w:numPr>
          <w:ilvl w:val="1"/>
          <w:numId w:val="2"/>
        </w:numPr>
        <w:rPr>
          <w:rFonts w:ascii="Arial" w:hAnsi="Arial" w:cs="Arial"/>
          <w:sz w:val="22"/>
        </w:rPr>
      </w:pPr>
      <w:r>
        <w:rPr>
          <w:rFonts w:cs="Arial" w:ascii="Arial" w:hAnsi="Arial"/>
          <w:sz w:val="22"/>
        </w:rPr>
        <w:t>Transmission is as defined by the appropriate regulator.</w:t>
      </w:r>
    </w:p>
    <w:p>
      <w:pPr>
        <w:pStyle w:val="Normal"/>
        <w:numPr>
          <w:ilvl w:val="1"/>
          <w:numId w:val="2"/>
        </w:numPr>
        <w:rPr>
          <w:rFonts w:ascii="Arial" w:hAnsi="Arial" w:cs="Arial"/>
          <w:sz w:val="22"/>
        </w:rPr>
      </w:pPr>
      <w:r>
        <w:rPr>
          <w:rFonts w:cs="Arial" w:ascii="Arial" w:hAnsi="Arial"/>
          <w:sz w:val="22"/>
        </w:rPr>
        <w:t>Entities that also own generation or are LSEs should not be excluded, but can only belong to one Sector.</w:t>
      </w:r>
    </w:p>
    <w:p>
      <w:pPr>
        <w:pStyle w:val="Normal"/>
        <w:numPr>
          <w:ilvl w:val="1"/>
          <w:numId w:val="2"/>
        </w:numPr>
        <w:rPr>
          <w:rFonts w:ascii="Arial" w:hAnsi="Arial" w:cs="Arial"/>
          <w:sz w:val="22"/>
        </w:rPr>
      </w:pPr>
      <w:r>
        <w:rPr>
          <w:rFonts w:cs="Arial" w:ascii="Arial" w:hAnsi="Arial"/>
          <w:sz w:val="22"/>
        </w:rPr>
        <w:t>Any entity with an OATT on file with FERC or equivalent.</w:t>
      </w:r>
    </w:p>
    <w:p>
      <w:pPr>
        <w:pStyle w:val="Normal"/>
        <w:numPr>
          <w:ilvl w:val="1"/>
          <w:numId w:val="2"/>
        </w:numPr>
        <w:rPr>
          <w:rFonts w:ascii="Arial" w:hAnsi="Arial" w:cs="Arial"/>
          <w:sz w:val="22"/>
        </w:rPr>
      </w:pPr>
      <w:r>
        <w:rPr>
          <w:rFonts w:cs="Arial" w:ascii="Arial" w:hAnsi="Arial"/>
          <w:sz w:val="22"/>
        </w:rPr>
        <w:t>Excludes RTOs and ISOs (that are eligible to belong to Sector 2)</w:t>
      </w:r>
    </w:p>
    <w:p>
      <w:pPr>
        <w:pStyle w:val="Normal"/>
        <w:numPr>
          <w:ilvl w:val="1"/>
          <w:numId w:val="2"/>
        </w:numPr>
        <w:rPr>
          <w:rFonts w:ascii="Arial" w:hAnsi="Arial" w:cs="Arial"/>
          <w:sz w:val="22"/>
        </w:rPr>
      </w:pPr>
      <w:r>
        <w:rPr>
          <w:rFonts w:cs="Arial" w:ascii="Arial" w:hAnsi="Arial"/>
          <w:sz w:val="22"/>
        </w:rPr>
        <w:t>Could include ITCs, merchant transmission developers, or other transcos that are not RTOs.</w:t>
      </w:r>
    </w:p>
    <w:p>
      <w:pPr>
        <w:pStyle w:val="Normal"/>
        <w:ind w:start="360" w:end="0"/>
        <w:rPr>
          <w:rFonts w:ascii="Arial" w:hAnsi="Arial" w:cs="Arial"/>
          <w:sz w:val="22"/>
        </w:rPr>
      </w:pPr>
      <w:r>
        <w:rPr>
          <w:rFonts w:cs="Arial" w:ascii="Arial" w:hAnsi="Arial"/>
          <w:sz w:val="22"/>
        </w:rPr>
      </w:r>
    </w:p>
    <w:p>
      <w:pPr>
        <w:pStyle w:val="Normal"/>
        <w:numPr>
          <w:ilvl w:val="0"/>
          <w:numId w:val="2"/>
        </w:numPr>
        <w:rPr>
          <w:rFonts w:ascii="Arial" w:hAnsi="Arial" w:cs="Arial"/>
          <w:b/>
          <w:bCs/>
          <w:sz w:val="22"/>
        </w:rPr>
      </w:pPr>
      <w:r>
        <w:rPr>
          <w:rFonts w:cs="Arial" w:ascii="Arial" w:hAnsi="Arial"/>
          <w:b/>
          <w:bCs/>
          <w:sz w:val="22"/>
        </w:rPr>
        <w:t>RTOs, ISOs, Regional Reliability Councils</w:t>
      </w:r>
    </w:p>
    <w:p>
      <w:pPr>
        <w:pStyle w:val="Normal"/>
        <w:numPr>
          <w:ilvl w:val="1"/>
          <w:numId w:val="2"/>
        </w:numPr>
        <w:rPr>
          <w:rFonts w:ascii="Arial" w:hAnsi="Arial" w:cs="Arial"/>
          <w:sz w:val="22"/>
        </w:rPr>
      </w:pPr>
      <w:r>
        <w:rPr>
          <w:rFonts w:cs="Arial" w:ascii="Arial" w:hAnsi="Arial"/>
          <w:sz w:val="22"/>
        </w:rPr>
        <w:t>Authorized by appropriate regulator to operate as RTO or ISO.</w:t>
      </w:r>
    </w:p>
    <w:p>
      <w:pPr>
        <w:pStyle w:val="Normal"/>
        <w:numPr>
          <w:ilvl w:val="1"/>
          <w:numId w:val="2"/>
        </w:numPr>
        <w:rPr>
          <w:rFonts w:ascii="Arial" w:hAnsi="Arial" w:cs="Arial"/>
          <w:sz w:val="22"/>
        </w:rPr>
      </w:pPr>
      <w:r>
        <w:rPr>
          <w:rFonts w:cs="Arial" w:ascii="Arial" w:hAnsi="Arial"/>
          <w:sz w:val="22"/>
        </w:rPr>
        <w:t>Regional Reliability Councils that are members of NERC.</w:t>
      </w:r>
    </w:p>
    <w:p>
      <w:pPr>
        <w:pStyle w:val="Normal"/>
        <w:numPr>
          <w:ilvl w:val="1"/>
          <w:numId w:val="2"/>
        </w:numPr>
        <w:rPr>
          <w:rFonts w:ascii="Arial" w:hAnsi="Arial" w:cs="Arial"/>
          <w:sz w:val="22"/>
        </w:rPr>
      </w:pPr>
      <w:r>
        <w:rPr>
          <w:rFonts w:cs="Arial" w:ascii="Arial" w:hAnsi="Arial"/>
          <w:sz w:val="22"/>
        </w:rPr>
        <w:t>In cases where the RTO or ISO is the region, cannot send two people.</w:t>
      </w:r>
    </w:p>
    <w:p>
      <w:pPr>
        <w:pStyle w:val="Normal"/>
        <w:ind w:start="360" w:end="0"/>
        <w:rPr>
          <w:rFonts w:ascii="Arial" w:hAnsi="Arial" w:cs="Arial"/>
          <w:sz w:val="22"/>
        </w:rPr>
      </w:pPr>
      <w:r>
        <w:rPr>
          <w:rFonts w:cs="Arial" w:ascii="Arial" w:hAnsi="Arial"/>
          <w:sz w:val="22"/>
        </w:rPr>
      </w:r>
    </w:p>
    <w:p>
      <w:pPr>
        <w:pStyle w:val="Normal"/>
        <w:numPr>
          <w:ilvl w:val="0"/>
          <w:numId w:val="2"/>
        </w:numPr>
        <w:rPr>
          <w:rFonts w:ascii="Arial" w:hAnsi="Arial" w:cs="Arial"/>
          <w:b/>
          <w:bCs/>
          <w:sz w:val="22"/>
        </w:rPr>
      </w:pPr>
      <w:r>
        <w:rPr>
          <w:rFonts w:cs="Arial" w:ascii="Arial" w:hAnsi="Arial"/>
          <w:b/>
          <w:bCs/>
          <w:sz w:val="22"/>
        </w:rPr>
        <w:t>Load Serving Entities</w:t>
      </w:r>
    </w:p>
    <w:p>
      <w:pPr>
        <w:pStyle w:val="Normal"/>
        <w:numPr>
          <w:ilvl w:val="1"/>
          <w:numId w:val="2"/>
        </w:numPr>
        <w:rPr>
          <w:rFonts w:ascii="Arial" w:hAnsi="Arial" w:cs="Arial"/>
          <w:sz w:val="22"/>
        </w:rPr>
      </w:pPr>
      <w:r>
        <w:rPr>
          <w:rFonts w:cs="Arial" w:ascii="Arial" w:hAnsi="Arial"/>
          <w:sz w:val="22"/>
        </w:rPr>
        <w:t>Entities with obligation to serve end use customers.</w:t>
      </w:r>
    </w:p>
    <w:p>
      <w:pPr>
        <w:pStyle w:val="Normal"/>
        <w:numPr>
          <w:ilvl w:val="1"/>
          <w:numId w:val="2"/>
        </w:numPr>
        <w:rPr>
          <w:rFonts w:ascii="Arial" w:hAnsi="Arial" w:cs="Arial"/>
          <w:sz w:val="22"/>
        </w:rPr>
      </w:pPr>
      <w:r>
        <w:rPr>
          <w:rFonts w:cs="Arial" w:ascii="Arial" w:hAnsi="Arial"/>
          <w:sz w:val="22"/>
        </w:rPr>
        <w:t>Entities that also own transmission or generation should not be excluded, but can only belong to one Sector.</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b/>
          <w:bCs/>
          <w:sz w:val="22"/>
        </w:rPr>
      </w:pPr>
      <w:r>
        <w:rPr>
          <w:rFonts w:cs="Arial" w:ascii="Arial" w:hAnsi="Arial"/>
          <w:b/>
          <w:bCs/>
          <w:sz w:val="22"/>
        </w:rPr>
        <w:t>Transmission Dependent Utilities</w:t>
      </w:r>
    </w:p>
    <w:p>
      <w:pPr>
        <w:pStyle w:val="Normal"/>
        <w:numPr>
          <w:ilvl w:val="1"/>
          <w:numId w:val="2"/>
        </w:numPr>
        <w:rPr>
          <w:rFonts w:ascii="Arial" w:hAnsi="Arial" w:cs="Arial"/>
          <w:sz w:val="22"/>
        </w:rPr>
      </w:pPr>
      <w:r>
        <w:rPr>
          <w:rFonts w:cs="Arial" w:ascii="Arial" w:hAnsi="Arial"/>
          <w:sz w:val="22"/>
        </w:rPr>
        <w:t>Entities with obligation to serve end use customers, or wholesale aggregators.</w:t>
      </w:r>
    </w:p>
    <w:p>
      <w:pPr>
        <w:pStyle w:val="Normal"/>
        <w:numPr>
          <w:ilvl w:val="1"/>
          <w:numId w:val="2"/>
        </w:numPr>
        <w:rPr>
          <w:rFonts w:ascii="Arial" w:hAnsi="Arial" w:cs="Arial"/>
          <w:sz w:val="22"/>
        </w:rPr>
      </w:pPr>
      <w:r>
        <w:rPr>
          <w:rFonts w:cs="Arial" w:ascii="Arial" w:hAnsi="Arial"/>
          <w:sz w:val="22"/>
        </w:rPr>
        <w:t>Own less than 200 circuit miles of transmission.</w:t>
      </w:r>
    </w:p>
    <w:p>
      <w:pPr>
        <w:pStyle w:val="Normal"/>
        <w:numPr>
          <w:ilvl w:val="1"/>
          <w:numId w:val="2"/>
        </w:numPr>
        <w:rPr>
          <w:rFonts w:ascii="Arial" w:hAnsi="Arial" w:cs="Arial"/>
          <w:sz w:val="22"/>
        </w:rPr>
      </w:pPr>
      <w:r>
        <w:rPr>
          <w:rFonts w:cs="Arial" w:ascii="Arial" w:hAnsi="Arial"/>
          <w:sz w:val="22"/>
        </w:rPr>
        <w:t>Groups of TDUs can be represented by agents or associations.</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b/>
          <w:bCs/>
          <w:sz w:val="22"/>
        </w:rPr>
      </w:pPr>
      <w:r>
        <w:rPr>
          <w:rFonts w:cs="Arial" w:ascii="Arial" w:hAnsi="Arial"/>
          <w:b/>
          <w:bCs/>
          <w:sz w:val="22"/>
        </w:rPr>
        <w:t>Producers</w:t>
      </w:r>
    </w:p>
    <w:p>
      <w:pPr>
        <w:pStyle w:val="Normal"/>
        <w:numPr>
          <w:ilvl w:val="1"/>
          <w:numId w:val="2"/>
        </w:numPr>
        <w:rPr>
          <w:rFonts w:ascii="Arial" w:hAnsi="Arial" w:cs="Arial"/>
          <w:sz w:val="22"/>
        </w:rPr>
      </w:pPr>
      <w:r>
        <w:rPr>
          <w:rFonts w:cs="Arial" w:ascii="Arial" w:hAnsi="Arial"/>
          <w:sz w:val="22"/>
        </w:rPr>
        <w:t>Affiliated and independent generators may join.</w:t>
      </w:r>
    </w:p>
    <w:p>
      <w:pPr>
        <w:pStyle w:val="Normal"/>
        <w:numPr>
          <w:ilvl w:val="1"/>
          <w:numId w:val="2"/>
        </w:numPr>
        <w:rPr>
          <w:rFonts w:ascii="Arial" w:hAnsi="Arial" w:cs="Arial"/>
          <w:sz w:val="22"/>
        </w:rPr>
      </w:pPr>
      <w:r>
        <w:rPr>
          <w:rFonts w:cs="Arial" w:ascii="Arial" w:hAnsi="Arial"/>
          <w:sz w:val="22"/>
        </w:rPr>
        <w:t>Entities that also own transmission or are LSEs should not be excluded, but can only belong to one Sector.</w:t>
      </w:r>
    </w:p>
    <w:p>
      <w:pPr>
        <w:pStyle w:val="Normal"/>
        <w:numPr>
          <w:ilvl w:val="1"/>
          <w:numId w:val="2"/>
        </w:numPr>
        <w:rPr>
          <w:rFonts w:ascii="Arial" w:hAnsi="Arial" w:cs="Arial"/>
          <w:sz w:val="22"/>
        </w:rPr>
      </w:pPr>
      <w:r>
        <w:rPr>
          <w:rFonts w:cs="Arial" w:ascii="Arial" w:hAnsi="Arial"/>
          <w:sz w:val="22"/>
        </w:rPr>
        <w:t>Entity must have market based rates approved by a regulator or be a generator that does not have significant interest in the transmission business.</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b/>
          <w:bCs/>
          <w:sz w:val="22"/>
        </w:rPr>
      </w:pPr>
      <w:r>
        <w:rPr>
          <w:rFonts w:cs="Arial" w:ascii="Arial" w:hAnsi="Arial"/>
          <w:b/>
          <w:bCs/>
          <w:sz w:val="22"/>
        </w:rPr>
        <w:t xml:space="preserve">Brokers, Aggregators, Marketers </w:t>
      </w:r>
    </w:p>
    <w:p>
      <w:pPr>
        <w:pStyle w:val="Normal"/>
        <w:numPr>
          <w:ilvl w:val="1"/>
          <w:numId w:val="2"/>
        </w:numPr>
        <w:rPr>
          <w:rFonts w:ascii="Arial" w:hAnsi="Arial" w:cs="Arial"/>
          <w:sz w:val="22"/>
        </w:rPr>
      </w:pPr>
      <w:r>
        <w:rPr>
          <w:rFonts w:cs="Arial" w:ascii="Arial" w:hAnsi="Arial"/>
          <w:sz w:val="22"/>
        </w:rPr>
        <w:t xml:space="preserve">An entity licensed by a jurisdictional regulator to buy energy and related services for resale in wholesale or retail markets.  </w:t>
      </w:r>
    </w:p>
    <w:p>
      <w:pPr>
        <w:pStyle w:val="Normal"/>
        <w:numPr>
          <w:ilvl w:val="1"/>
          <w:numId w:val="2"/>
        </w:numPr>
        <w:rPr>
          <w:rFonts w:ascii="Arial" w:hAnsi="Arial" w:cs="Arial"/>
          <w:sz w:val="22"/>
        </w:rPr>
      </w:pPr>
      <w:r>
        <w:rPr>
          <w:rFonts w:cs="Arial" w:ascii="Arial" w:hAnsi="Arial"/>
          <w:sz w:val="22"/>
        </w:rPr>
        <w:t>Regulated and unregulated entities should not be excluded, but can only belong to one Sector.</w:t>
      </w:r>
    </w:p>
    <w:p>
      <w:pPr>
        <w:pStyle w:val="Normal"/>
        <w:ind w:start="1080" w:end="0"/>
        <w:rPr>
          <w:rFonts w:ascii="Arial" w:hAnsi="Arial" w:cs="Arial"/>
          <w:sz w:val="22"/>
        </w:rPr>
      </w:pPr>
      <w:r>
        <w:rPr>
          <w:rFonts w:cs="Arial" w:ascii="Arial" w:hAnsi="Arial"/>
          <w:sz w:val="22"/>
        </w:rPr>
      </w:r>
    </w:p>
    <w:p>
      <w:pPr>
        <w:pStyle w:val="Normal"/>
        <w:numPr>
          <w:ilvl w:val="0"/>
          <w:numId w:val="2"/>
        </w:numPr>
        <w:rPr>
          <w:rFonts w:ascii="Arial" w:hAnsi="Arial" w:cs="Arial"/>
          <w:b/>
          <w:bCs/>
          <w:sz w:val="22"/>
        </w:rPr>
      </w:pPr>
      <w:r>
        <w:rPr>
          <w:rFonts w:cs="Arial" w:ascii="Arial" w:hAnsi="Arial"/>
          <w:b/>
          <w:bCs/>
          <w:sz w:val="22"/>
        </w:rPr>
        <w:t>End User – Large</w:t>
      </w:r>
    </w:p>
    <w:p>
      <w:pPr>
        <w:pStyle w:val="Normal"/>
        <w:numPr>
          <w:ilvl w:val="1"/>
          <w:numId w:val="2"/>
        </w:numPr>
        <w:rPr>
          <w:rFonts w:ascii="Arial" w:hAnsi="Arial" w:cs="Arial"/>
          <w:sz w:val="22"/>
        </w:rPr>
      </w:pPr>
      <w:r>
        <w:rPr>
          <w:rFonts w:cs="Arial" w:ascii="Arial" w:hAnsi="Arial"/>
          <w:sz w:val="22"/>
        </w:rPr>
        <w:t>At least one service delivery taken at 50 kV and above that is not purchased for resale</w:t>
      </w:r>
    </w:p>
    <w:p>
      <w:pPr>
        <w:pStyle w:val="Normal"/>
        <w:numPr>
          <w:ilvl w:val="1"/>
          <w:numId w:val="2"/>
        </w:numPr>
        <w:rPr>
          <w:rFonts w:ascii="Arial" w:hAnsi="Arial" w:cs="Arial"/>
          <w:sz w:val="22"/>
        </w:rPr>
      </w:pPr>
      <w:r>
        <w:rPr>
          <w:rFonts w:cs="Arial" w:ascii="Arial" w:hAnsi="Arial"/>
          <w:sz w:val="22"/>
        </w:rPr>
        <w:t>Groups of large end users can be represented by agents or associations.</w:t>
      </w:r>
    </w:p>
    <w:p>
      <w:pPr>
        <w:pStyle w:val="Normal"/>
        <w:ind w:start="360" w:end="0"/>
        <w:rPr>
          <w:rFonts w:ascii="Arial" w:hAnsi="Arial" w:cs="Arial"/>
          <w:sz w:val="22"/>
        </w:rPr>
      </w:pPr>
      <w:r>
        <w:rPr>
          <w:rFonts w:cs="Arial" w:ascii="Arial" w:hAnsi="Arial"/>
          <w:sz w:val="22"/>
        </w:rPr>
      </w:r>
    </w:p>
    <w:p>
      <w:pPr>
        <w:pStyle w:val="Normal"/>
        <w:numPr>
          <w:ilvl w:val="0"/>
          <w:numId w:val="2"/>
        </w:numPr>
        <w:rPr>
          <w:rFonts w:ascii="Arial" w:hAnsi="Arial" w:cs="Arial"/>
          <w:b/>
          <w:bCs/>
          <w:sz w:val="22"/>
        </w:rPr>
      </w:pPr>
      <w:r>
        <w:rPr>
          <w:rFonts w:cs="Arial" w:ascii="Arial" w:hAnsi="Arial"/>
          <w:b/>
          <w:bCs/>
          <w:sz w:val="22"/>
        </w:rPr>
        <w:t>End User – Small</w:t>
      </w:r>
    </w:p>
    <w:p>
      <w:pPr>
        <w:pStyle w:val="Normal"/>
        <w:numPr>
          <w:ilvl w:val="1"/>
          <w:numId w:val="2"/>
        </w:numPr>
        <w:rPr>
          <w:rFonts w:ascii="Arial" w:hAnsi="Arial" w:cs="Arial"/>
          <w:sz w:val="22"/>
        </w:rPr>
      </w:pPr>
      <w:r>
        <w:rPr>
          <w:rFonts w:cs="Arial" w:ascii="Arial" w:hAnsi="Arial"/>
          <w:sz w:val="22"/>
        </w:rPr>
        <w:t>Service taken at below 50 kV</w:t>
      </w:r>
    </w:p>
    <w:p>
      <w:pPr>
        <w:pStyle w:val="Normal"/>
        <w:numPr>
          <w:ilvl w:val="1"/>
          <w:numId w:val="2"/>
        </w:numPr>
        <w:rPr>
          <w:rFonts w:ascii="Arial" w:hAnsi="Arial" w:cs="Arial"/>
          <w:sz w:val="22"/>
        </w:rPr>
      </w:pPr>
      <w:r>
        <w:rPr>
          <w:rFonts w:cs="Arial" w:ascii="Arial" w:hAnsi="Arial"/>
          <w:sz w:val="22"/>
        </w:rPr>
        <w:t>Groups of small customers can be represented by agents or advocate groups.</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b/>
          <w:bCs/>
          <w:sz w:val="22"/>
        </w:rPr>
      </w:pPr>
      <w:r>
        <w:rPr>
          <w:rFonts w:cs="Arial" w:ascii="Arial" w:hAnsi="Arial"/>
          <w:b/>
          <w:bCs/>
          <w:sz w:val="22"/>
        </w:rPr>
        <w:t>Federal, State, Provincial Government Agencies</w:t>
      </w:r>
    </w:p>
    <w:p>
      <w:pPr>
        <w:pStyle w:val="Normal"/>
        <w:numPr>
          <w:ilvl w:val="1"/>
          <w:numId w:val="2"/>
        </w:numPr>
        <w:rPr>
          <w:rFonts w:ascii="Arial" w:hAnsi="Arial" w:cs="Arial"/>
          <w:sz w:val="22"/>
        </w:rPr>
      </w:pPr>
      <w:r>
        <w:rPr>
          <w:rFonts w:cs="Arial" w:ascii="Arial" w:hAnsi="Arial"/>
          <w:sz w:val="22"/>
        </w:rPr>
        <w:t>Does not include Federal PMAs.</w:t>
      </w:r>
    </w:p>
    <w:p>
      <w:pPr>
        <w:pStyle w:val="Normal"/>
        <w:numPr>
          <w:ilvl w:val="1"/>
          <w:numId w:val="2"/>
        </w:numPr>
        <w:rPr>
          <w:rFonts w:ascii="Arial" w:hAnsi="Arial" w:cs="Arial"/>
          <w:sz w:val="22"/>
        </w:rPr>
      </w:pPr>
      <w:r>
        <w:rPr>
          <w:rFonts w:cs="Arial" w:ascii="Arial" w:hAnsi="Arial"/>
          <w:sz w:val="22"/>
        </w:rPr>
        <w:t>May include PUCs or others who represent customer interests.</w:t>
      </w:r>
    </w:p>
    <w:p>
      <w:pPr>
        <w:pStyle w:val="Normal"/>
        <w:numPr>
          <w:ilvl w:val="1"/>
          <w:numId w:val="2"/>
        </w:numPr>
        <w:rPr>
          <w:rFonts w:ascii="Arial" w:hAnsi="Arial" w:cs="Arial"/>
          <w:sz w:val="22"/>
        </w:rPr>
      </w:pPr>
      <w:r>
        <w:rPr>
          <w:rFonts w:cs="Arial" w:ascii="Arial" w:hAnsi="Arial"/>
          <w:sz w:val="22"/>
        </w:rPr>
        <w:t>Non voting sector.</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rFonts w:cs="Arial" w:ascii="Arial" w:hAnsi="Arial"/>
          <w:sz w:val="22"/>
          <w:u w:val="single"/>
        </w:rPr>
        <w:t>Procedures</w:t>
      </w:r>
      <w:r>
        <w:rPr>
          <w:rFonts w:cs="Arial" w:ascii="Arial" w:hAnsi="Arial"/>
          <w:sz w:val="22"/>
        </w:rPr>
        <w:t>:</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Entities will “self select” which Sector they wish to join.  An independent group of 3-5 people, assigned by the Board, will review the self selections to determine if they satisfy the criteria to join a specific Sector.  If the criteria are satisfied, the entity will be “credentialed” to participate as a member of the Sector.</w:t>
      </w:r>
    </w:p>
    <w:p>
      <w:pPr>
        <w:pStyle w:val="Normal"/>
        <w:numPr>
          <w:ilvl w:val="0"/>
          <w:numId w:val="1"/>
        </w:numPr>
        <w:rPr>
          <w:rFonts w:ascii="Arial" w:hAnsi="Arial" w:cs="Arial"/>
          <w:sz w:val="22"/>
        </w:rPr>
      </w:pPr>
      <w:r>
        <w:rPr>
          <w:rFonts w:cs="Arial" w:ascii="Arial" w:hAnsi="Arial"/>
          <w:sz w:val="22"/>
        </w:rPr>
        <w:t>Entities may change Sectors annually.</w:t>
      </w:r>
    </w:p>
    <w:p>
      <w:pPr>
        <w:pStyle w:val="Normal"/>
        <w:numPr>
          <w:ilvl w:val="0"/>
          <w:numId w:val="1"/>
        </w:numPr>
        <w:rPr>
          <w:rFonts w:ascii="Arial" w:hAnsi="Arial" w:cs="Arial"/>
          <w:sz w:val="22"/>
        </w:rPr>
      </w:pPr>
      <w:r>
        <w:rPr>
          <w:rFonts w:cs="Arial" w:ascii="Arial" w:hAnsi="Arial"/>
          <w:sz w:val="22"/>
        </w:rPr>
        <w:t xml:space="preserve">All members of each sector get one vote, which votes are weighted by the number of members in the sector.  Each sector’s votes are weighted by the number of sectors.  (Reference the PJM voting model for further details.) </w:t>
      </w:r>
    </w:p>
    <w:p>
      <w:pPr>
        <w:pStyle w:val="Normal"/>
        <w:numPr>
          <w:ilvl w:val="0"/>
          <w:numId w:val="1"/>
        </w:numPr>
        <w:rPr>
          <w:rFonts w:ascii="Arial" w:hAnsi="Arial" w:cs="Arial"/>
          <w:sz w:val="22"/>
        </w:rPr>
      </w:pPr>
      <w:r>
        <w:rPr>
          <w:rFonts w:cs="Arial" w:ascii="Arial" w:hAnsi="Arial"/>
          <w:sz w:val="22"/>
        </w:rPr>
        <w:t>The criteria and procedures for joining Sectors will be reviewed periodically to assure that Sectors cannot be “stacked.”  Public input will be solicited in the review of these criteria.</w:t>
      </w:r>
    </w:p>
    <w:p>
      <w:pPr>
        <w:pStyle w:val="Normal"/>
        <w:numPr>
          <w:ilvl w:val="0"/>
          <w:numId w:val="1"/>
        </w:numPr>
        <w:rPr>
          <w:rFonts w:ascii="Arial" w:hAnsi="Arial" w:cs="Arial"/>
          <w:sz w:val="22"/>
        </w:rPr>
      </w:pPr>
      <w:r>
        <w:rPr>
          <w:rFonts w:cs="Arial" w:ascii="Arial" w:hAnsi="Arial"/>
          <w:sz w:val="22"/>
        </w:rPr>
        <w:t>Vendors may, upon invitation by the Standing Committees, participate in subgroups as technical standards are developed.</w:t>
      </w:r>
    </w:p>
    <w:p>
      <w:pPr>
        <w:pStyle w:val="Normal"/>
        <w:rPr>
          <w:rFonts w:ascii="Arial" w:hAnsi="Arial" w:cs="Arial"/>
          <w:sz w:val="22"/>
        </w:rPr>
      </w:pPr>
      <w:r>
        <w:rPr>
          <w:rFonts w:cs="Arial" w:ascii="Arial" w:hAnsi="Arial"/>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22"/>
      </w:rPr>
    </w:pPr>
    <w:r>
      <w:rPr>
        <w:rFonts w:cs="Arial" w:ascii="Arial" w:hAnsi="Arial"/>
        <w:sz w:val="22"/>
      </w:rPr>
      <w:t>September 27, 2001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Wingdings" w:hAnsi="Wingdings" w:cs="Wingdings" w:hint="default"/>
        <w:sz w:val="16"/>
      </w:rPr>
    </w:lvl>
  </w:abstractNum>
  <w:abstractNum w:abstractNumId="2">
    <w:lvl w:ilvl="0">
      <w:start w:val="1"/>
      <w:numFmt w:val="decimal"/>
      <w:lvlText w:val="%1."/>
      <w:lvlJc w:val="start"/>
      <w:pPr>
        <w:tabs>
          <w:tab w:val="num" w:pos="1080"/>
        </w:tabs>
        <w:ind w:start="108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sz w:val="16"/>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rFonts w:ascii="Arial" w:hAnsi="Arial" w:eastAsia="Times New Roman" w:cs="Aria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ind w:hanging="0" w:start="360" w:end="0"/>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2001-10-18T22:46:00Z</dcterms:created>
  <dc:creator>David R. Nevius</dc:creator>
  <dc:description/>
  <dc:language>en-CA</dc:language>
  <cp:lastModifiedBy>W. Reinke</cp:lastModifiedBy>
  <dcterms:modified xsi:type="dcterms:W3CDTF">2001-10-18T22:46:00Z</dcterms:modified>
  <cp:revision>2</cp:revision>
  <dc:subject/>
  <dc:title>Dave Goulding Suggested Sectors</dc:title>
</cp:coreProperties>
</file>