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260" w:leader="none"/>
        </w:tabs>
        <w:rPr>
          <w:rFonts w:ascii="Arial" w:hAnsi="Arial" w:cs="Arial"/>
        </w:rPr>
      </w:pPr>
      <w:r>
        <w:rPr>
          <w:rFonts w:cs="Arial" w:ascii="Arial" w:hAnsi="Arial"/>
        </w:rPr>
      </w:r>
    </w:p>
    <w:p>
      <w:pPr>
        <w:pStyle w:val="Normal"/>
        <w:jc w:val="center"/>
        <w:rPr>
          <w:rFonts w:ascii="Arial" w:hAnsi="Arial" w:cs="Arial"/>
          <w:sz w:val="32"/>
        </w:rPr>
      </w:pPr>
      <w:r>
        <w:rPr>
          <w:rFonts w:cs="Arial" w:ascii="Arial" w:hAnsi="Arial"/>
          <w:sz w:val="32"/>
        </w:rPr>
      </w:r>
    </w:p>
    <w:p>
      <w:pPr>
        <w:pStyle w:val="Normal"/>
        <w:tabs>
          <w:tab w:val="clear" w:pos="720"/>
          <w:tab w:val="left" w:pos="1260" w:leader="none"/>
        </w:tabs>
        <w:rPr>
          <w:rFonts w:ascii="Arial" w:hAnsi="Arial" w:cs="Arial"/>
          <w:sz w:val="22"/>
        </w:rPr>
      </w:pPr>
      <w:r>
        <w:rPr>
          <w:rFonts w:cs="Arial" w:ascii="Arial" w:hAnsi="Arial"/>
          <w:sz w:val="22"/>
        </w:rPr>
        <w:tab/>
        <w:tab/>
        <w:tab/>
        <w:tab/>
        <w:tab/>
        <w:tab/>
        <w:tab/>
        <w:tab/>
      </w:r>
    </w:p>
    <w:p>
      <w:pPr>
        <w:pStyle w:val="Normal"/>
        <w:tabs>
          <w:tab w:val="clear" w:pos="720"/>
          <w:tab w:val="left" w:pos="1260" w:leader="none"/>
        </w:tabs>
        <w:rPr>
          <w:rFonts w:ascii="Arial" w:hAnsi="Arial" w:cs="Arial"/>
          <w:sz w:val="22"/>
        </w:rPr>
      </w:pPr>
      <w:r>
        <w:rPr>
          <w:rFonts w:cs="Arial" w:ascii="Arial" w:hAnsi="Arial"/>
          <w:sz w:val="22"/>
        </w:rPr>
        <w:tab/>
        <w:tab/>
        <w:tab/>
        <w:tab/>
        <w:tab/>
        <w:tab/>
        <w:tab/>
        <w:tab/>
        <w:tab/>
      </w:r>
    </w:p>
    <w:p>
      <w:pPr>
        <w:pStyle w:val="Normal"/>
        <w:rPr>
          <w:rFonts w:ascii="Arial" w:hAnsi="Arial" w:cs="Arial"/>
          <w:sz w:val="32"/>
        </w:rPr>
      </w:pPr>
      <w:r>
        <w:rPr>
          <w:rFonts w:cs="Arial" w:ascii="Arial" w:hAnsi="Arial"/>
          <w:sz w:val="32"/>
        </w:rPr>
      </w:r>
    </w:p>
    <w:p>
      <w:pPr>
        <w:pStyle w:val="Normal"/>
        <w:spacing w:lineRule="auto" w:line="360"/>
        <w:jc w:val="center"/>
        <w:rPr>
          <w:rFonts w:ascii="Arial" w:hAnsi="Arial" w:cs="Arial"/>
          <w:sz w:val="32"/>
        </w:rPr>
      </w:pPr>
      <w:r>
        <w:rPr>
          <w:rFonts w:cs="Arial" w:ascii="Arial" w:hAnsi="Arial"/>
          <w:sz w:val="32"/>
        </w:rPr>
      </w:r>
    </w:p>
    <w:p>
      <w:pPr>
        <w:pStyle w:val="Normal"/>
        <w:spacing w:lineRule="auto" w:line="360"/>
        <w:jc w:val="center"/>
        <w:rPr>
          <w:rFonts w:ascii="Arial" w:hAnsi="Arial" w:cs="Arial"/>
          <w:sz w:val="32"/>
        </w:rPr>
      </w:pPr>
      <w:r>
        <w:rPr>
          <w:rFonts w:cs="Arial" w:ascii="Arial" w:hAnsi="Arial"/>
          <w:sz w:val="32"/>
        </w:rPr>
        <w:t>Gas Supply Agreement</w:t>
      </w:r>
    </w:p>
    <w:p>
      <w:pPr>
        <w:pStyle w:val="Heading5"/>
        <w:ind w:hanging="0" w:start="0"/>
        <w:rPr>
          <w:sz w:val="32"/>
        </w:rPr>
      </w:pPr>
      <w:r>
        <w:rPr>
          <w:sz w:val="32"/>
        </w:rPr>
        <w:t>Between</w:t>
      </w:r>
    </w:p>
    <w:p>
      <w:pPr>
        <w:pStyle w:val="Normal"/>
        <w:spacing w:lineRule="auto" w:line="360"/>
        <w:jc w:val="center"/>
        <w:rPr>
          <w:rFonts w:ascii="Arial" w:hAnsi="Arial" w:cs="Arial"/>
          <w:sz w:val="32"/>
        </w:rPr>
      </w:pPr>
      <w:r>
        <w:rPr>
          <w:rFonts w:cs="Arial" w:ascii="Arial" w:hAnsi="Arial"/>
          <w:sz w:val="32"/>
        </w:rPr>
        <w:t>Los Angeles Department of Water and Power</w:t>
      </w:r>
    </w:p>
    <w:p>
      <w:pPr>
        <w:pStyle w:val="Normal"/>
        <w:spacing w:lineRule="auto" w:line="360"/>
        <w:jc w:val="center"/>
        <w:rPr>
          <w:rFonts w:ascii="Arial" w:hAnsi="Arial" w:cs="Arial"/>
          <w:sz w:val="32"/>
        </w:rPr>
      </w:pPr>
      <w:r>
        <w:rPr>
          <w:rFonts w:cs="Arial" w:ascii="Arial" w:hAnsi="Arial"/>
          <w:sz w:val="32"/>
        </w:rPr>
        <w:t>and</w:t>
      </w:r>
    </w:p>
    <w:p>
      <w:pPr>
        <w:pStyle w:val="Normal"/>
        <w:jc w:val="center"/>
        <w:rPr>
          <w:rFonts w:ascii="Arial" w:hAnsi="Arial" w:cs="Arial"/>
          <w:sz w:val="32"/>
        </w:rPr>
      </w:pPr>
      <w:r>
        <w:rPr>
          <w:rFonts w:cs="Arial" w:ascii="Arial" w:hAnsi="Arial"/>
          <w:sz w:val="32"/>
        </w:rPr>
        <w:t>____________________________________</w:t>
      </w:r>
    </w:p>
    <w:p>
      <w:pPr>
        <w:pStyle w:val="Normal"/>
        <w:jc w:val="center"/>
        <w:rPr>
          <w:rFonts w:ascii="Arial" w:hAnsi="Arial" w:cs="Arial"/>
          <w:sz w:val="32"/>
        </w:rPr>
      </w:pPr>
      <w:r>
        <w:rPr>
          <w:rFonts w:cs="Arial" w:ascii="Arial" w:hAnsi="Arial"/>
          <w:sz w:val="32"/>
        </w:rPr>
      </w:r>
    </w:p>
    <w:p>
      <w:pPr>
        <w:pStyle w:val="Normal"/>
        <w:jc w:val="center"/>
        <w:rPr>
          <w:rFonts w:ascii="Arial" w:hAnsi="Arial" w:cs="Arial"/>
          <w:sz w:val="32"/>
        </w:rPr>
      </w:pPr>
      <w:r>
        <w:rPr>
          <w:rFonts w:cs="Arial" w:ascii="Arial" w:hAnsi="Arial"/>
          <w:sz w:val="32"/>
        </w:rPr>
        <w:t>Los Angeles Department of Water and Power</w:t>
      </w:r>
    </w:p>
    <w:p>
      <w:pPr>
        <w:pStyle w:val="Normal"/>
        <w:jc w:val="center"/>
        <w:rPr>
          <w:rFonts w:ascii="Arial" w:hAnsi="Arial" w:cs="Arial"/>
          <w:sz w:val="32"/>
        </w:rPr>
      </w:pPr>
      <w:r>
        <w:rPr>
          <w:rFonts w:cs="Arial" w:ascii="Arial" w:hAnsi="Arial"/>
          <w:sz w:val="32"/>
        </w:rPr>
        <w:t>111 North Hope Street, Room 1148</w:t>
      </w:r>
    </w:p>
    <w:p>
      <w:pPr>
        <w:pStyle w:val="Normal"/>
        <w:jc w:val="center"/>
        <w:rPr>
          <w:rFonts w:ascii="Arial" w:hAnsi="Arial" w:cs="Arial"/>
          <w:sz w:val="32"/>
        </w:rPr>
      </w:pPr>
      <w:r>
        <w:rPr>
          <w:rFonts w:cs="Arial" w:ascii="Arial" w:hAnsi="Arial"/>
          <w:sz w:val="32"/>
        </w:rPr>
        <w:t>Los Angeles, CA 90012-2694</w:t>
      </w:r>
    </w:p>
    <w:p>
      <w:pPr>
        <w:pStyle w:val="Normal"/>
        <w:jc w:val="end"/>
        <w:rPr>
          <w:rFonts w:ascii="Arial" w:hAnsi="Arial" w:cs="Arial"/>
          <w:sz w:val="32"/>
        </w:rPr>
      </w:pPr>
      <w:r>
        <w:rPr>
          <w:rFonts w:cs="Arial" w:ascii="Arial" w:hAnsi="Arial"/>
          <w:sz w:val="32"/>
        </w:rPr>
      </w:r>
    </w:p>
    <w:p>
      <w:pPr>
        <w:pStyle w:val="Normal"/>
        <w:jc w:val="end"/>
        <w:rPr>
          <w:rFonts w:ascii="Arial" w:hAnsi="Arial" w:cs="Arial"/>
          <w:sz w:val="32"/>
        </w:rPr>
      </w:pPr>
      <w:r>
        <w:rPr>
          <w:rFonts w:cs="Arial" w:ascii="Arial" w:hAnsi="Arial"/>
          <w:sz w:val="32"/>
        </w:rPr>
      </w:r>
    </w:p>
    <w:p>
      <w:pPr>
        <w:pStyle w:val="Normal"/>
        <w:jc w:val="end"/>
        <w:rPr>
          <w:rFonts w:ascii="Arial" w:hAnsi="Arial" w:cs="Arial"/>
          <w:sz w:val="32"/>
        </w:rPr>
      </w:pPr>
      <w:r>
        <w:rPr>
          <w:rFonts w:cs="Arial" w:ascii="Arial" w:hAnsi="Arial"/>
          <w:sz w:val="32"/>
        </w:rPr>
      </w:r>
    </w:p>
    <w:p>
      <w:pPr>
        <w:pStyle w:val="Normal"/>
        <w:jc w:val="end"/>
        <w:rPr>
          <w:rFonts w:ascii="Arial" w:hAnsi="Arial" w:cs="Arial"/>
          <w:sz w:val="32"/>
        </w:rPr>
      </w:pPr>
      <w:r>
        <w:rPr>
          <w:rFonts w:cs="Arial" w:ascii="Arial" w:hAnsi="Arial"/>
          <w:sz w:val="32"/>
        </w:rPr>
      </w:r>
    </w:p>
    <w:p>
      <w:pPr>
        <w:pStyle w:val="Normal"/>
        <w:jc w:val="end"/>
        <w:rPr>
          <w:rFonts w:ascii="Arial" w:hAnsi="Arial" w:cs="Arial"/>
          <w:sz w:val="32"/>
        </w:rPr>
      </w:pPr>
      <w:r>
        <w:rPr>
          <w:rFonts w:cs="Arial" w:ascii="Arial" w:hAnsi="Arial"/>
          <w:sz w:val="32"/>
        </w:rPr>
        <w:t>LADWP Agreement No. ______</w:t>
      </w:r>
    </w:p>
    <w:p>
      <w:pPr>
        <w:pStyle w:val="Normal"/>
        <w:jc w:val="end"/>
        <w:rPr>
          <w:rFonts w:ascii="Arial" w:hAnsi="Arial" w:cs="Arial"/>
          <w:sz w:val="32"/>
        </w:rPr>
      </w:pPr>
      <w:r>
        <w:rPr>
          <w:rFonts w:cs="Arial" w:ascii="Arial" w:hAnsi="Arial"/>
          <w:sz w:val="32"/>
        </w:rPr>
      </w:r>
    </w:p>
    <w:p>
      <w:pPr>
        <w:pStyle w:val="Heading4"/>
        <w:tabs>
          <w:tab w:val="clear" w:pos="720"/>
          <w:tab w:val="left" w:pos="1440" w:leader="none"/>
          <w:tab w:val="left" w:pos="6480" w:leader="none"/>
          <w:tab w:val="center" w:pos="8820" w:leader="dot"/>
        </w:tabs>
        <w:spacing w:lineRule="auto" w:line="480"/>
        <w:ind w:hanging="0" w:start="0"/>
        <w:rPr>
          <w:rFonts w:ascii="Arial" w:hAnsi="Arial" w:cs="Arial"/>
          <w:spacing w:val="0"/>
          <w:sz w:val="32"/>
          <w:u w:val="single"/>
        </w:rPr>
      </w:pPr>
      <w:r>
        <w:rPr>
          <w:rFonts w:cs="Arial"/>
          <w:spacing w:val="0"/>
          <w:sz w:val="32"/>
          <w:u w:val="single"/>
        </w:rPr>
      </w:r>
    </w:p>
    <w:p>
      <w:pPr>
        <w:pStyle w:val="Normal"/>
        <w:rPr>
          <w:spacing w:val="0"/>
          <w:u w:val="single"/>
        </w:rPr>
      </w:pPr>
      <w:r>
        <w:rPr>
          <w:spacing w:val="0"/>
          <w:u w:val="single"/>
        </w:rPr>
      </w:r>
    </w:p>
    <w:p>
      <w:pPr>
        <w:pStyle w:val="Normal"/>
        <w:rPr/>
      </w:pPr>
      <w:r>
        <w:rPr/>
      </w:r>
    </w:p>
    <w:p>
      <w:pPr>
        <w:pStyle w:val="Heading4"/>
        <w:tabs>
          <w:tab w:val="clear" w:pos="720"/>
          <w:tab w:val="left" w:pos="1440" w:leader="none"/>
          <w:tab w:val="center" w:pos="8820" w:leader="none"/>
        </w:tabs>
        <w:spacing w:lineRule="auto" w:line="480"/>
        <w:ind w:hanging="0" w:start="0"/>
        <w:jc w:val="start"/>
        <w:rPr>
          <w:spacing w:val="0"/>
          <w:u w:val="single"/>
        </w:rPr>
      </w:pPr>
      <w:r>
        <w:rPr>
          <w:spacing w:val="0"/>
          <w:u w:val="single"/>
        </w:rPr>
        <w:t>Section</w:t>
        <w:tab/>
        <w:tab/>
        <w:t>Page</w:t>
      </w:r>
    </w:p>
    <w:p>
      <w:pPr>
        <w:pStyle w:val="Heading4"/>
        <w:numPr>
          <w:ilvl w:val="0"/>
          <w:numId w:val="6"/>
        </w:numPr>
        <w:tabs>
          <w:tab w:val="clear" w:pos="720"/>
          <w:tab w:val="center" w:pos="8820" w:leader="dot"/>
        </w:tabs>
        <w:spacing w:lineRule="auto" w:line="480"/>
        <w:jc w:val="start"/>
        <w:rPr>
          <w:b w:val="false"/>
          <w:spacing w:val="0"/>
          <w:u w:val="single"/>
        </w:rPr>
      </w:pPr>
      <w:r>
        <w:rPr>
          <w:b w:val="false"/>
          <w:spacing w:val="0"/>
        </w:rPr>
        <w:t>Agreement</w:t>
        <w:tab/>
        <w:t>1</w:t>
      </w:r>
    </w:p>
    <w:p>
      <w:pPr>
        <w:pStyle w:val="Heading4"/>
        <w:numPr>
          <w:ilvl w:val="0"/>
          <w:numId w:val="6"/>
        </w:numPr>
        <w:tabs>
          <w:tab w:val="clear" w:pos="720"/>
          <w:tab w:val="center" w:pos="8820" w:leader="dot"/>
        </w:tabs>
        <w:spacing w:lineRule="auto" w:line="480"/>
        <w:jc w:val="start"/>
        <w:rPr>
          <w:b w:val="false"/>
          <w:spacing w:val="0"/>
          <w:u w:val="single"/>
        </w:rPr>
      </w:pPr>
      <w:r>
        <w:rPr>
          <w:b w:val="false"/>
          <w:spacing w:val="0"/>
        </w:rPr>
        <w:t>Definitions</w:t>
        <w:tab/>
        <w:t>1</w:t>
      </w:r>
    </w:p>
    <w:p>
      <w:pPr>
        <w:pStyle w:val="Heading4"/>
        <w:numPr>
          <w:ilvl w:val="0"/>
          <w:numId w:val="6"/>
        </w:numPr>
        <w:tabs>
          <w:tab w:val="clear" w:pos="720"/>
          <w:tab w:val="center" w:pos="8820" w:leader="dot"/>
        </w:tabs>
        <w:spacing w:lineRule="auto" w:line="480"/>
        <w:jc w:val="start"/>
        <w:rPr>
          <w:b w:val="false"/>
          <w:spacing w:val="0"/>
          <w:u w:val="single"/>
        </w:rPr>
      </w:pPr>
      <w:r>
        <w:rPr>
          <w:b w:val="false"/>
          <w:spacing w:val="0"/>
        </w:rPr>
        <w:t>Recitals</w:t>
        <w:tab/>
        <w:t>3</w:t>
      </w:r>
    </w:p>
    <w:p>
      <w:pPr>
        <w:pStyle w:val="Heading4"/>
        <w:numPr>
          <w:ilvl w:val="0"/>
          <w:numId w:val="6"/>
        </w:numPr>
        <w:tabs>
          <w:tab w:val="clear" w:pos="720"/>
          <w:tab w:val="center" w:pos="8820" w:leader="dot"/>
        </w:tabs>
        <w:spacing w:lineRule="auto" w:line="480"/>
        <w:jc w:val="start"/>
        <w:rPr>
          <w:b w:val="false"/>
          <w:spacing w:val="0"/>
          <w:u w:val="single"/>
        </w:rPr>
      </w:pPr>
      <w:r>
        <w:rPr>
          <w:b w:val="false"/>
          <w:spacing w:val="0"/>
        </w:rPr>
        <w:t>DWP Requirements</w:t>
        <w:tab/>
        <w:t>9</w:t>
      </w:r>
    </w:p>
    <w:p>
      <w:pPr>
        <w:pStyle w:val="Heading4"/>
        <w:numPr>
          <w:ilvl w:val="0"/>
          <w:numId w:val="6"/>
        </w:numPr>
        <w:tabs>
          <w:tab w:val="clear" w:pos="720"/>
          <w:tab w:val="center" w:pos="8820" w:leader="dot"/>
        </w:tabs>
        <w:spacing w:lineRule="auto" w:line="480"/>
        <w:jc w:val="start"/>
        <w:rPr>
          <w:b w:val="false"/>
          <w:spacing w:val="0"/>
          <w:u w:val="single"/>
        </w:rPr>
      </w:pPr>
      <w:r>
        <w:rPr>
          <w:b w:val="false"/>
          <w:spacing w:val="0"/>
        </w:rPr>
        <w:t>General Requirements</w:t>
        <w:tab/>
        <w:t>9</w:t>
      </w:r>
    </w:p>
    <w:p>
      <w:pPr>
        <w:pStyle w:val="Heading4"/>
        <w:numPr>
          <w:ilvl w:val="0"/>
          <w:numId w:val="6"/>
        </w:numPr>
        <w:tabs>
          <w:tab w:val="clear" w:pos="720"/>
          <w:tab w:val="center" w:pos="8820" w:leader="dot"/>
        </w:tabs>
        <w:spacing w:lineRule="auto" w:line="480"/>
        <w:jc w:val="start"/>
        <w:rPr>
          <w:b w:val="false"/>
          <w:spacing w:val="0"/>
          <w:u w:val="single"/>
        </w:rPr>
      </w:pPr>
      <w:r>
        <w:rPr>
          <w:b w:val="false"/>
          <w:spacing w:val="0"/>
        </w:rPr>
        <w:t>Compensation</w:t>
        <w:tab/>
        <w:t>12</w:t>
      </w:r>
    </w:p>
    <w:p>
      <w:pPr>
        <w:pStyle w:val="Heading4"/>
        <w:numPr>
          <w:ilvl w:val="0"/>
          <w:numId w:val="6"/>
        </w:numPr>
        <w:tabs>
          <w:tab w:val="clear" w:pos="720"/>
          <w:tab w:val="center" w:pos="8820" w:leader="dot"/>
        </w:tabs>
        <w:spacing w:lineRule="auto" w:line="480"/>
        <w:ind w:hanging="1440" w:start="1440" w:end="450"/>
        <w:jc w:val="start"/>
        <w:rPr>
          <w:b w:val="false"/>
          <w:spacing w:val="0"/>
          <w:u w:val="single"/>
        </w:rPr>
      </w:pPr>
      <w:r>
        <w:rPr>
          <w:b w:val="false"/>
          <w:spacing w:val="0"/>
        </w:rPr>
        <w:t>Business Policies</w:t>
        <w:tab/>
        <w:t>13</w:t>
      </w:r>
    </w:p>
    <w:p>
      <w:pPr>
        <w:pStyle w:val="Heading4"/>
        <w:numPr>
          <w:ilvl w:val="0"/>
          <w:numId w:val="6"/>
        </w:numPr>
        <w:tabs>
          <w:tab w:val="clear" w:pos="720"/>
          <w:tab w:val="center" w:pos="8820" w:leader="dot"/>
        </w:tabs>
        <w:spacing w:lineRule="auto" w:line="480"/>
        <w:jc w:val="start"/>
        <w:rPr>
          <w:b w:val="false"/>
          <w:spacing w:val="0"/>
          <w:u w:val="single"/>
        </w:rPr>
      </w:pPr>
      <w:r>
        <w:rPr>
          <w:b w:val="false"/>
          <w:spacing w:val="0"/>
        </w:rPr>
        <w:t>Invoices</w:t>
        <w:tab/>
        <w:t>13</w:t>
      </w:r>
    </w:p>
    <w:p>
      <w:pPr>
        <w:pStyle w:val="Heading4"/>
        <w:numPr>
          <w:ilvl w:val="0"/>
          <w:numId w:val="6"/>
        </w:numPr>
        <w:tabs>
          <w:tab w:val="clear" w:pos="720"/>
          <w:tab w:val="center" w:pos="8820" w:leader="dot"/>
        </w:tabs>
        <w:spacing w:lineRule="auto" w:line="480"/>
        <w:jc w:val="start"/>
        <w:rPr>
          <w:b w:val="false"/>
          <w:spacing w:val="0"/>
        </w:rPr>
      </w:pPr>
      <w:r>
        <w:rPr>
          <w:b w:val="false"/>
          <w:spacing w:val="0"/>
        </w:rPr>
        <w:t>Conflict</w:t>
        <w:tab/>
        <w:t xml:space="preserve"> 14</w:t>
      </w:r>
    </w:p>
    <w:p>
      <w:pPr>
        <w:pStyle w:val="Normal"/>
        <w:numPr>
          <w:ilvl w:val="0"/>
          <w:numId w:val="6"/>
        </w:numPr>
        <w:rPr>
          <w:rFonts w:ascii="Arial" w:hAnsi="Arial" w:cs="Arial"/>
        </w:rPr>
      </w:pPr>
      <w:r>
        <w:rPr>
          <w:rFonts w:cs="Arial" w:ascii="Arial" w:hAnsi="Arial"/>
        </w:rPr>
        <w:t>Monitoring of Performance</w:t>
        <w:tab/>
        <w:t>……………………………………………….15</w:t>
      </w:r>
    </w:p>
    <w:p>
      <w:pPr>
        <w:pStyle w:val="Normal"/>
        <w:rPr>
          <w:rFonts w:ascii="Arial" w:hAnsi="Arial" w:cs="Arial"/>
        </w:rPr>
      </w:pPr>
      <w:r>
        <w:rPr>
          <w:rFonts w:cs="Arial" w:ascii="Arial" w:hAnsi="Arial"/>
        </w:rPr>
      </w:r>
    </w:p>
    <w:p>
      <w:pPr>
        <w:pStyle w:val="Normal"/>
        <w:numPr>
          <w:ilvl w:val="0"/>
          <w:numId w:val="6"/>
        </w:numPr>
        <w:tabs>
          <w:tab w:val="clear" w:pos="720"/>
          <w:tab w:val="right" w:pos="9270" w:leader="dot"/>
        </w:tabs>
        <w:ind w:hanging="1440" w:start="1440" w:end="630"/>
        <w:rPr>
          <w:rFonts w:ascii="Arial" w:hAnsi="Arial" w:cs="Arial"/>
        </w:rPr>
      </w:pPr>
      <w:r>
        <w:rPr>
          <w:rFonts w:cs="Arial" w:ascii="Arial" w:hAnsi="Arial"/>
        </w:rPr>
        <w:t>Severable Provisions</w:t>
        <w:tab/>
        <w:t>16</w:t>
      </w:r>
    </w:p>
    <w:p>
      <w:pPr>
        <w:pStyle w:val="Normal"/>
        <w:tabs>
          <w:tab w:val="clear" w:pos="720"/>
          <w:tab w:val="right" w:pos="9270" w:leader="dot"/>
        </w:tabs>
        <w:ind w:end="630"/>
        <w:rPr>
          <w:rFonts w:ascii="Arial" w:hAnsi="Arial" w:cs="Arial"/>
        </w:rPr>
      </w:pPr>
      <w:r>
        <w:rPr>
          <w:rFonts w:cs="Arial" w:ascii="Arial" w:hAnsi="Arial"/>
        </w:rPr>
      </w:r>
    </w:p>
    <w:p>
      <w:pPr>
        <w:pStyle w:val="Normal"/>
        <w:numPr>
          <w:ilvl w:val="0"/>
          <w:numId w:val="6"/>
        </w:numPr>
        <w:tabs>
          <w:tab w:val="clear" w:pos="720"/>
          <w:tab w:val="right" w:pos="9270" w:leader="dot"/>
        </w:tabs>
        <w:ind w:hanging="1440" w:start="1440" w:end="630"/>
        <w:rPr>
          <w:rFonts w:ascii="Arial" w:hAnsi="Arial" w:cs="Arial"/>
        </w:rPr>
      </w:pPr>
      <w:r>
        <w:rPr>
          <w:rFonts w:cs="Arial" w:ascii="Arial" w:hAnsi="Arial"/>
        </w:rPr>
        <w:t>Interpretation</w:t>
        <w:tab/>
        <w:t>17</w:t>
      </w:r>
    </w:p>
    <w:p>
      <w:pPr>
        <w:pStyle w:val="Normal"/>
        <w:tabs>
          <w:tab w:val="clear" w:pos="720"/>
          <w:tab w:val="right" w:pos="9270" w:leader="dot"/>
        </w:tabs>
        <w:ind w:end="630"/>
        <w:rPr>
          <w:rFonts w:ascii="Arial" w:hAnsi="Arial" w:cs="Arial"/>
        </w:rPr>
      </w:pPr>
      <w:r>
        <w:rPr>
          <w:rFonts w:cs="Arial" w:ascii="Arial" w:hAnsi="Arial"/>
        </w:rPr>
      </w:r>
    </w:p>
    <w:p>
      <w:pPr>
        <w:pStyle w:val="Normal"/>
        <w:numPr>
          <w:ilvl w:val="0"/>
          <w:numId w:val="6"/>
        </w:numPr>
        <w:tabs>
          <w:tab w:val="clear" w:pos="720"/>
          <w:tab w:val="right" w:pos="9270" w:leader="dot"/>
        </w:tabs>
        <w:ind w:hanging="1440" w:start="1440" w:end="630"/>
        <w:rPr>
          <w:rFonts w:ascii="Arial" w:hAnsi="Arial" w:cs="Arial"/>
        </w:rPr>
      </w:pPr>
      <w:r>
        <w:rPr>
          <w:rFonts w:cs="Arial" w:ascii="Arial" w:hAnsi="Arial"/>
        </w:rPr>
        <w:t>Authorization to Enter into Agreement and Consultant’s Representation</w:t>
        <w:tab/>
        <w:t>18</w:t>
      </w:r>
    </w:p>
    <w:p>
      <w:pPr>
        <w:pStyle w:val="Normal"/>
        <w:rPr>
          <w:rFonts w:ascii="Arial" w:hAnsi="Arial" w:cs="Arial"/>
        </w:rPr>
      </w:pPr>
      <w:r>
        <w:rPr>
          <w:rFonts w:cs="Arial" w:ascii="Arial" w:hAnsi="Arial"/>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rFonts w:ascii="Arial" w:hAnsi="Arial" w:cs="Arial"/>
        </w:rPr>
      </w:pPr>
      <w:r>
        <w:rPr>
          <w:rFonts w:cs="Arial" w:ascii="Arial" w:hAnsi="Arial"/>
        </w:rPr>
      </w:r>
    </w:p>
    <w:p>
      <w:pPr>
        <w:pStyle w:val="Normal"/>
        <w:jc w:val="center"/>
        <w:rPr>
          <w:rFonts w:ascii="Arial" w:hAnsi="Arial" w:cs="Arial"/>
          <w:b/>
        </w:rPr>
      </w:pPr>
      <w:r>
        <w:rPr>
          <w:rFonts w:cs="Arial" w:ascii="Arial" w:hAnsi="Arial"/>
          <w:b/>
        </w:rPr>
      </w:r>
    </w:p>
    <w:p>
      <w:pPr>
        <w:pStyle w:val="Heading4"/>
        <w:tabs>
          <w:tab w:val="clear" w:pos="720"/>
          <w:tab w:val="left" w:pos="1440" w:leader="none"/>
          <w:tab w:val="center" w:pos="8820" w:leader="dot"/>
        </w:tabs>
        <w:spacing w:lineRule="auto" w:line="480"/>
        <w:ind w:hanging="0" w:start="0"/>
        <w:rPr>
          <w:spacing w:val="0"/>
          <w:u w:val="single"/>
        </w:rPr>
      </w:pPr>
      <w:r>
        <w:rPr>
          <w:spacing w:val="0"/>
          <w:u w:val="single"/>
        </w:rPr>
        <w:t>AGREEMENT NO. ______</w:t>
      </w:r>
    </w:p>
    <w:p>
      <w:pPr>
        <w:pStyle w:val="Normal"/>
        <w:rPr>
          <w:spacing w:val="0"/>
          <w:u w:val="single"/>
        </w:rPr>
      </w:pPr>
      <w:r>
        <w:rPr>
          <w:spacing w:val="0"/>
          <w:u w:val="single"/>
        </w:rPr>
      </w:r>
    </w:p>
    <w:p>
      <w:pPr>
        <w:pStyle w:val="Normal"/>
        <w:rPr/>
      </w:pPr>
      <w:r>
        <w:rPr/>
      </w:r>
    </w:p>
    <w:p>
      <w:pPr>
        <w:pStyle w:val="Normal"/>
        <w:numPr>
          <w:ilvl w:val="0"/>
          <w:numId w:val="2"/>
        </w:numPr>
        <w:rPr>
          <w:rFonts w:ascii="Arial" w:hAnsi="Arial" w:cs="Arial"/>
          <w:b/>
          <w:u w:val="single"/>
        </w:rPr>
      </w:pPr>
      <w:r>
        <w:rPr>
          <w:rFonts w:cs="Arial" w:ascii="Arial" w:hAnsi="Arial"/>
          <w:b/>
          <w:u w:val="single"/>
        </w:rPr>
        <w:t>AGREEMENT</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b/>
        </w:rPr>
        <w:t>1.1</w:t>
        <w:tab/>
        <w:t>Parties</w:t>
      </w:r>
    </w:p>
    <w:p>
      <w:pPr>
        <w:pStyle w:val="Normal"/>
        <w:rPr>
          <w:rFonts w:ascii="Arial" w:hAnsi="Arial" w:cs="Arial"/>
        </w:rPr>
      </w:pPr>
      <w:r>
        <w:rPr>
          <w:rFonts w:cs="Arial" w:ascii="Arial" w:hAnsi="Arial"/>
        </w:rPr>
      </w:r>
    </w:p>
    <w:p>
      <w:pPr>
        <w:pStyle w:val="Normal"/>
        <w:rPr/>
      </w:pPr>
      <w:r>
        <w:rPr>
          <w:rFonts w:cs="Arial" w:ascii="Arial" w:hAnsi="Arial"/>
        </w:rPr>
        <w:t xml:space="preserve">THIS AGREEMENT is made and entered into by and between the </w:t>
      </w:r>
      <w:r>
        <w:rPr>
          <w:rFonts w:cs="Arial" w:ascii="Arial" w:hAnsi="Arial"/>
          <w:b/>
        </w:rPr>
        <w:t>CITY OF LOS ANGELES</w:t>
      </w:r>
      <w:r>
        <w:rPr>
          <w:rFonts w:cs="Arial" w:ascii="Arial" w:hAnsi="Arial"/>
        </w:rPr>
        <w:t xml:space="preserve">, acting by and through the </w:t>
      </w:r>
      <w:r>
        <w:rPr>
          <w:rFonts w:cs="Arial" w:ascii="Arial" w:hAnsi="Arial"/>
          <w:b/>
        </w:rPr>
        <w:t>DEPARTMENT OF WATER AND POWER OF THE CITY OF LOS ANGELES</w:t>
      </w:r>
      <w:r>
        <w:rPr>
          <w:rFonts w:cs="Arial" w:ascii="Arial" w:hAnsi="Arial"/>
        </w:rPr>
        <w:t xml:space="preserve">, (Department), and                                         hereinafter  referred to as “Supplier.”  The Department and Supplier will be collectively referred to herein as the “Parties.” </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2. 0</w:t>
        <w:tab/>
        <w:t>Definitions</w:t>
      </w:r>
    </w:p>
    <w:p>
      <w:pPr>
        <w:pStyle w:val="Normal"/>
        <w:rPr>
          <w:rFonts w:ascii="Arial" w:hAnsi="Arial" w:cs="Arial"/>
          <w:b/>
        </w:rPr>
      </w:pPr>
      <w:r>
        <w:rPr>
          <w:rFonts w:cs="Arial" w:ascii="Arial" w:hAnsi="Arial"/>
          <w:b/>
        </w:rPr>
      </w:r>
    </w:p>
    <w:p>
      <w:pPr>
        <w:pStyle w:val="Normal"/>
        <w:numPr>
          <w:ilvl w:val="1"/>
          <w:numId w:val="5"/>
        </w:numPr>
        <w:rPr>
          <w:rFonts w:ascii="Arial" w:hAnsi="Arial" w:cs="Arial"/>
          <w:b/>
        </w:rPr>
      </w:pPr>
      <w:r>
        <w:rPr>
          <w:rFonts w:cs="Arial" w:ascii="Arial" w:hAnsi="Arial"/>
          <w:b/>
        </w:rPr>
        <w:t>“</w:t>
      </w:r>
      <w:r>
        <w:rPr>
          <w:rFonts w:cs="Arial" w:ascii="Arial" w:hAnsi="Arial"/>
        </w:rPr>
        <w:t xml:space="preserve">Supplier” may also be referred to as “Bidder” or  “Party”. </w:t>
      </w:r>
      <w:r>
        <w:rPr>
          <w:rFonts w:cs="Arial" w:ascii="Arial" w:hAnsi="Arial"/>
          <w:b/>
        </w:rPr>
        <w:t>”</w:t>
      </w:r>
    </w:p>
    <w:p>
      <w:pPr>
        <w:pStyle w:val="Normal"/>
        <w:ind w:start="720" w:end="0"/>
        <w:rPr>
          <w:rFonts w:ascii="Arial" w:hAnsi="Arial" w:cs="Arial"/>
          <w:b/>
          <w:color w:val="FF0000"/>
        </w:rPr>
      </w:pPr>
      <w:r>
        <w:rPr>
          <w:rFonts w:cs="Arial" w:ascii="Arial" w:hAnsi="Arial"/>
          <w:b/>
          <w:color w:val="FF0000"/>
        </w:rPr>
      </w:r>
    </w:p>
    <w:p>
      <w:pPr>
        <w:pStyle w:val="Normal"/>
        <w:rPr/>
      </w:pPr>
      <w:r>
        <w:rPr>
          <w:rFonts w:cs="Arial" w:ascii="Arial" w:hAnsi="Arial"/>
          <w:b/>
        </w:rPr>
        <w:t>2.2</w:t>
        <w:tab/>
        <w:t>“</w:t>
      </w:r>
      <w:r>
        <w:rPr>
          <w:rFonts w:cs="Arial" w:ascii="Arial" w:hAnsi="Arial"/>
        </w:rPr>
        <w:t xml:space="preserve">Electronic Bid” shall mean an E-mail or Fax request from the Department to a Supplier soliciting offers from the Supplier to sell the Department natural gas.  Such an Electronic request will be communicated to a Supplier at Supplier’s Electronic address designated herein.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3.0</w:t>
        <w:tab/>
        <w:t>Recitals</w:t>
      </w:r>
    </w:p>
    <w:p>
      <w:pPr>
        <w:pStyle w:val="Normal"/>
        <w:rPr>
          <w:rFonts w:ascii="Arial" w:hAnsi="Arial" w:cs="Arial"/>
          <w:b/>
        </w:rPr>
      </w:pPr>
      <w:r>
        <w:rPr>
          <w:rFonts w:cs="Arial" w:ascii="Arial" w:hAnsi="Arial"/>
          <w:b/>
        </w:rPr>
      </w:r>
    </w:p>
    <w:p>
      <w:pPr>
        <w:pStyle w:val="Normal"/>
        <w:rPr/>
      </w:pPr>
      <w:r>
        <w:rPr>
          <w:rFonts w:cs="Arial" w:ascii="Arial" w:hAnsi="Arial"/>
          <w:b/>
        </w:rPr>
        <w:t>3.1</w:t>
        <w:tab/>
      </w:r>
      <w:r>
        <w:rPr>
          <w:rFonts w:cs="Arial" w:ascii="Arial" w:hAnsi="Arial"/>
        </w:rPr>
        <w:t>The Department wishes to reduce the effects of natural gas price volatility on its native load generation costs by purchasing natural gas at reasonable fixed prices for a delivery period not to exceed the term of this Agreement from one or more Suppliers who are signatory to this Agreement.</w:t>
      </w:r>
    </w:p>
    <w:p>
      <w:pPr>
        <w:pStyle w:val="Normal"/>
        <w:rPr>
          <w:rFonts w:ascii="Arial" w:hAnsi="Arial" w:cs="Arial"/>
        </w:rPr>
      </w:pPr>
      <w:r>
        <w:rPr>
          <w:rFonts w:cs="Arial" w:ascii="Arial" w:hAnsi="Arial"/>
        </w:rPr>
      </w:r>
    </w:p>
    <w:p>
      <w:pPr>
        <w:pStyle w:val="Normal"/>
        <w:rPr/>
      </w:pPr>
      <w:r>
        <w:rPr>
          <w:rFonts w:cs="Arial" w:ascii="Arial" w:hAnsi="Arial"/>
          <w:b/>
        </w:rPr>
        <w:t>3.2</w:t>
        <w:tab/>
      </w:r>
      <w:r>
        <w:rPr>
          <w:rFonts w:cs="Arial" w:ascii="Arial" w:hAnsi="Arial"/>
        </w:rPr>
        <w:t>To accomplish this goal the Department will solicit offers from Supplier by means of an Electronic Bid.</w:t>
      </w:r>
    </w:p>
    <w:p>
      <w:pPr>
        <w:pStyle w:val="Normal"/>
        <w:ind w:end="-180"/>
        <w:rPr>
          <w:rFonts w:ascii="Arial" w:hAnsi="Arial" w:cs="Arial"/>
          <w:b/>
        </w:rPr>
      </w:pPr>
      <w:r>
        <w:rPr>
          <w:rFonts w:cs="Arial" w:ascii="Arial" w:hAnsi="Arial"/>
          <w:b/>
        </w:rPr>
      </w:r>
    </w:p>
    <w:p>
      <w:pPr>
        <w:pStyle w:val="Normal"/>
        <w:ind w:end="-180"/>
        <w:rPr/>
      </w:pPr>
      <w:r>
        <w:rPr>
          <w:rFonts w:cs="Arial" w:ascii="Arial" w:hAnsi="Arial"/>
          <w:b/>
        </w:rPr>
        <w:t>3.3</w:t>
        <w:tab/>
      </w:r>
      <w:r>
        <w:rPr>
          <w:rFonts w:cs="Arial" w:ascii="Arial" w:hAnsi="Arial"/>
        </w:rPr>
        <w:t xml:space="preserve"> Each Supplier who is signatory to this Agreement is not required to respond to Department’s Electronic Bid.  </w:t>
      </w:r>
    </w:p>
    <w:p>
      <w:pPr>
        <w:pStyle w:val="Normal"/>
        <w:ind w:end="-180"/>
        <w:rPr>
          <w:rFonts w:ascii="Arial" w:hAnsi="Arial" w:eastAsia="Arial" w:cs="Arial"/>
        </w:rPr>
      </w:pPr>
      <w:r>
        <w:rPr>
          <w:rFonts w:eastAsia="Arial" w:cs="Arial" w:ascii="Arial" w:hAnsi="Arial"/>
        </w:rPr>
        <w:t xml:space="preserve">   </w:t>
      </w:r>
    </w:p>
    <w:p>
      <w:pPr>
        <w:pStyle w:val="Normal"/>
        <w:numPr>
          <w:ilvl w:val="1"/>
          <w:numId w:val="3"/>
        </w:numPr>
        <w:rPr>
          <w:rFonts w:ascii="Arial" w:hAnsi="Arial" w:cs="Arial"/>
          <w:b/>
        </w:rPr>
      </w:pPr>
      <w:r>
        <w:rPr>
          <w:rFonts w:cs="Arial" w:ascii="Arial" w:hAnsi="Arial"/>
        </w:rPr>
        <w:t xml:space="preserve">Each Supplier further acknowledges and agrees that the Department in its sole discretion has the right not to purchase natural gas from any Supplier under the provisions set forth in this Agreement. </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4.0</w:t>
        <w:tab/>
      </w:r>
      <w:r>
        <w:rPr>
          <w:rFonts w:cs="Arial" w:ascii="Arial" w:hAnsi="Arial"/>
          <w:b/>
          <w:u w:val="single"/>
        </w:rPr>
        <w:t xml:space="preserve"> Gas To Be Supplied</w:t>
      </w:r>
    </w:p>
    <w:p>
      <w:pPr>
        <w:pStyle w:val="Normal"/>
        <w:rPr>
          <w:rFonts w:ascii="Arial" w:hAnsi="Arial" w:cs="Arial"/>
          <w:b/>
        </w:rPr>
      </w:pPr>
      <w:r>
        <w:rPr>
          <w:rFonts w:cs="Arial" w:ascii="Arial" w:hAnsi="Arial"/>
          <w:b/>
        </w:rPr>
      </w:r>
    </w:p>
    <w:p>
      <w:pPr>
        <w:pStyle w:val="BodyText"/>
        <w:rPr>
          <w:rFonts w:ascii="Arial" w:hAnsi="Arial" w:cs="Arial"/>
        </w:rPr>
      </w:pPr>
      <w:r>
        <w:rPr>
          <w:rFonts w:cs="Arial" w:ascii="Arial" w:hAnsi="Arial"/>
        </w:rPr>
        <w:t>The Department intends to procure natural gas supply for its generation facilities located in the Los Angeles basin.  This natural gas may be procured through a monthly spot gas purchase program or incrementally on an hoc basis pursuant to the provisions of this Agreement.  However, The Department is not required to buy a minimum amount of gas from any Bidder.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end="-180"/>
        <w:rPr>
          <w:rFonts w:ascii="Arial" w:hAnsi="Arial" w:eastAsia="Arial" w:cs="Arial"/>
        </w:rPr>
      </w:pPr>
      <w:r>
        <w:rPr>
          <w:rFonts w:eastAsia="Arial" w:cs="Arial" w:ascii="Arial" w:hAnsi="Arial"/>
        </w:rPr>
        <w:t xml:space="preserve"> </w:t>
      </w:r>
    </w:p>
    <w:p>
      <w:pPr>
        <w:pStyle w:val="Normal"/>
        <w:rPr>
          <w:rFonts w:ascii="Arial" w:hAnsi="Arial" w:cs="Arial"/>
          <w:b/>
        </w:rPr>
      </w:pPr>
      <w:r>
        <w:rPr>
          <w:rFonts w:cs="Arial" w:ascii="Arial" w:hAnsi="Arial"/>
          <w:b/>
        </w:rPr>
        <w:t>4.1</w:t>
        <w:tab/>
        <w:t>DWP Requirements</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rPr>
        <w:t>The Department may solicit from Supplier offers to sell the Department natural gas by means of an Electronic Bid.  The Electronic Bid will contain at a minimum the following: 1) volume of gas, 2) delivery information, and 3) duration of delivery.  The Department may use Exhibit A, attached hereto, as a sample Electronic attachment to an Electronic Bid.</w:t>
      </w:r>
    </w:p>
    <w:p>
      <w:pPr>
        <w:pStyle w:val="Normal"/>
        <w:rPr>
          <w:rFonts w:ascii="Arial" w:hAnsi="Arial" w:cs="Arial"/>
          <w:b/>
        </w:rPr>
      </w:pPr>
      <w:r>
        <w:rPr>
          <w:rFonts w:cs="Arial" w:ascii="Arial" w:hAnsi="Arial"/>
          <w:b/>
        </w:rPr>
      </w:r>
      <w:r>
        <w:br w:type="page"/>
      </w:r>
    </w:p>
    <w:p>
      <w:pPr>
        <w:pStyle w:val="Normal"/>
        <w:rPr>
          <w:rFonts w:ascii="Arial" w:hAnsi="Arial" w:cs="Arial"/>
        </w:rPr>
      </w:pPr>
      <w:r>
        <w:rPr>
          <w:rFonts w:cs="Arial" w:ascii="Arial" w:hAnsi="Arial"/>
          <w:b/>
        </w:rPr>
        <w:t>4.2</w:t>
        <w:tab/>
        <w:t xml:space="preserve">Bid Process </w:t>
      </w:r>
    </w:p>
    <w:p>
      <w:pPr>
        <w:pStyle w:val="Normal"/>
        <w:rPr>
          <w:rFonts w:ascii="Arial" w:hAnsi="Arial" w:cs="Arial"/>
        </w:rPr>
      </w:pPr>
      <w:r>
        <w:rPr>
          <w:rFonts w:cs="Arial" w:ascii="Arial" w:hAnsi="Arial"/>
        </w:rPr>
      </w:r>
    </w:p>
    <w:p>
      <w:pPr>
        <w:pStyle w:val="Heading1"/>
        <w:ind w:hanging="0" w:start="0"/>
        <w:rPr>
          <w:rFonts w:ascii="Arial" w:hAnsi="Arial" w:cs="Arial"/>
          <w:u w:val="none"/>
        </w:rPr>
      </w:pPr>
      <w:r>
        <w:rPr>
          <w:rFonts w:cs="Arial" w:ascii="Arial" w:hAnsi="Arial"/>
          <w:u w:val="none"/>
        </w:rPr>
        <w:t xml:space="preserve">The Department, on an as needed basis, will solicit offers from Supplier to provide the Department with natural gas. </w:t>
      </w:r>
    </w:p>
    <w:p>
      <w:pPr>
        <w:pStyle w:val="Normal"/>
        <w:tabs>
          <w:tab w:val="clear" w:pos="720"/>
          <w:tab w:val="left" w:pos="1440" w:leader="none"/>
        </w:tabs>
        <w:ind w:hanging="720" w:start="1440" w:end="0"/>
        <w:rPr>
          <w:rFonts w:ascii="Arial" w:hAnsi="Arial" w:cs="Arial"/>
          <w:u w:val="none"/>
        </w:rPr>
      </w:pPr>
      <w:r>
        <w:rPr>
          <w:rFonts w:cs="Arial" w:ascii="Arial" w:hAnsi="Arial"/>
          <w:u w:val="none"/>
        </w:rPr>
      </w:r>
    </w:p>
    <w:p>
      <w:pPr>
        <w:pStyle w:val="Heading1"/>
        <w:ind w:hanging="0" w:start="0"/>
        <w:rPr>
          <w:rFonts w:ascii="Arial" w:hAnsi="Arial" w:cs="Arial"/>
          <w:u w:val="none"/>
        </w:rPr>
      </w:pPr>
      <w:r>
        <w:rPr>
          <w:rFonts w:cs="Arial" w:ascii="Arial" w:hAnsi="Arial"/>
          <w:u w:val="none"/>
        </w:rPr>
        <w:t>Each Supplier so solicited, in its discretion may submit an offer to sell in response to an Electronic Bid.  Before any offer to sell may be considered responsive to an Electronic Bid, such offer shall comply with time and delivery location(s) as set forth in the Electronic Bid.  Any Supplier responding to an Electronic Bid is not obligated or required to be capable of providing the full volume of natural gas sought in an Electronic Bid.</w:t>
      </w:r>
    </w:p>
    <w:p>
      <w:pPr>
        <w:pStyle w:val="Normal"/>
        <w:rPr>
          <w:rFonts w:ascii="Arial" w:hAnsi="Arial" w:cs="Arial"/>
          <w:u w:val="none"/>
        </w:rPr>
      </w:pPr>
      <w:r>
        <w:rPr>
          <w:rFonts w:cs="Arial" w:ascii="Arial" w:hAnsi="Arial"/>
          <w:u w:val="none"/>
        </w:rPr>
      </w:r>
    </w:p>
    <w:p>
      <w:pPr>
        <w:pStyle w:val="Normal"/>
        <w:rPr>
          <w:rFonts w:ascii="Arial" w:hAnsi="Arial" w:cs="Arial"/>
        </w:rPr>
      </w:pPr>
      <w:r>
        <w:rPr>
          <w:rFonts w:cs="Arial" w:ascii="Arial" w:hAnsi="Arial"/>
        </w:rPr>
        <w:t xml:space="preserve">Any offer to sell natural gas by a Supplier in response to an Electronic Bid shall include the following: </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volume in units of MMBtu/Day;</w:t>
      </w:r>
    </w:p>
    <w:p>
      <w:pPr>
        <w:pStyle w:val="Normal"/>
        <w:numPr>
          <w:ilvl w:val="0"/>
          <w:numId w:val="7"/>
        </w:numPr>
        <w:rPr>
          <w:rFonts w:ascii="Arial" w:hAnsi="Arial" w:cs="Arial"/>
        </w:rPr>
      </w:pPr>
      <w:r>
        <w:rPr>
          <w:rFonts w:cs="Arial" w:ascii="Arial" w:hAnsi="Arial"/>
        </w:rPr>
        <w:t>delivery point;</w:t>
      </w:r>
    </w:p>
    <w:p>
      <w:pPr>
        <w:pStyle w:val="Normal"/>
        <w:numPr>
          <w:ilvl w:val="0"/>
          <w:numId w:val="7"/>
        </w:numPr>
        <w:rPr>
          <w:rFonts w:ascii="Arial" w:hAnsi="Arial" w:cs="Arial"/>
        </w:rPr>
      </w:pPr>
      <w:r>
        <w:rPr>
          <w:rFonts w:cs="Arial" w:ascii="Arial" w:hAnsi="Arial"/>
        </w:rPr>
        <w:t>cost of the product ($/MMBtu);</w:t>
      </w:r>
    </w:p>
    <w:p>
      <w:pPr>
        <w:pStyle w:val="Normal"/>
        <w:numPr>
          <w:ilvl w:val="0"/>
          <w:numId w:val="7"/>
        </w:numPr>
        <w:rPr>
          <w:rFonts w:ascii="Arial" w:hAnsi="Arial" w:cs="Arial"/>
        </w:rPr>
      </w:pPr>
      <w:r>
        <w:rPr>
          <w:rFonts w:cs="Arial" w:ascii="Arial" w:hAnsi="Arial"/>
        </w:rPr>
        <w:t>delivery period.</w:t>
      </w:r>
    </w:p>
    <w:p>
      <w:pPr>
        <w:pStyle w:val="Normal"/>
        <w:ind w:start="72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r>
    </w:p>
    <w:p>
      <w:pPr>
        <w:pStyle w:val="Heading1"/>
        <w:ind w:hanging="0" w:start="0"/>
        <w:rPr>
          <w:rFonts w:ascii="Arial" w:hAnsi="Arial" w:cs="Arial"/>
          <w:u w:val="none"/>
        </w:rPr>
      </w:pPr>
      <w:r>
        <w:rPr>
          <w:rFonts w:cs="Arial" w:ascii="Arial" w:hAnsi="Arial"/>
          <w:u w:val="none"/>
        </w:rPr>
        <w:t>The Supplier submitting the offer to sell the Department natural gas at the lowest price which complies with the delivery time and other specifications in a Electronic Bid will be selected.  The selected Supplier will be paid according to the amount quoted in his offer to sell.  All quotes contained in a Supplier’s offer to sell in response to a Electronic Bid shall be valid for not less than two (2) business days from the date of the response deadline as identified in a Electronic Bid.</w:t>
      </w:r>
    </w:p>
    <w:p>
      <w:pPr>
        <w:pStyle w:val="Normal"/>
        <w:tabs>
          <w:tab w:val="clear" w:pos="720"/>
          <w:tab w:val="left" w:pos="1440" w:leader="none"/>
        </w:tabs>
        <w:ind w:hanging="720" w:start="1440" w:end="0"/>
        <w:rPr>
          <w:rFonts w:ascii="Arial" w:hAnsi="Arial" w:cs="Arial"/>
          <w:u w:val="none"/>
        </w:rPr>
      </w:pPr>
      <w:r>
        <w:rPr>
          <w:rFonts w:cs="Arial" w:ascii="Arial" w:hAnsi="Arial"/>
          <w:u w:val="none"/>
        </w:rPr>
      </w:r>
    </w:p>
    <w:p>
      <w:pPr>
        <w:pStyle w:val="Heading1"/>
        <w:ind w:hanging="0" w:start="0"/>
        <w:rPr>
          <w:rFonts w:ascii="Arial" w:hAnsi="Arial" w:cs="Arial"/>
          <w:u w:val="none"/>
        </w:rPr>
      </w:pPr>
      <w:r>
        <w:rPr>
          <w:rFonts w:cs="Arial" w:ascii="Arial" w:hAnsi="Arial"/>
          <w:u w:val="none"/>
        </w:rPr>
        <w:t>The Department reserves the right to cancel an Electronic Bid, and/or not make a purchase.  Each Electronic Bid and purchase is considered separate and independent.  An unsuccessful Supplier on one Electronic Bid is not precluded from submitting an offer to sell in response to any subsequent Electronic Bid.</w:t>
      </w:r>
    </w:p>
    <w:p>
      <w:pPr>
        <w:pStyle w:val="Normal"/>
        <w:rPr>
          <w:rFonts w:ascii="Arial" w:hAnsi="Arial" w:cs="Arial"/>
          <w:u w:val="none"/>
        </w:rPr>
      </w:pPr>
      <w:r>
        <w:rPr>
          <w:rFonts w:cs="Arial" w:ascii="Arial" w:hAnsi="Arial"/>
          <w:u w:val="none"/>
        </w:rPr>
      </w:r>
    </w:p>
    <w:p>
      <w:pPr>
        <w:pStyle w:val="Normal"/>
        <w:rPr>
          <w:rFonts w:ascii="Arial" w:hAnsi="Arial" w:cs="Arial"/>
          <w:b/>
        </w:rPr>
      </w:pPr>
      <w:r>
        <w:rPr>
          <w:rFonts w:cs="Arial" w:ascii="Arial" w:hAnsi="Arial"/>
          <w:b/>
        </w:rPr>
        <w:t>4.3</w:t>
        <w:tab/>
        <w:t>Selection Criteria</w:t>
      </w:r>
    </w:p>
    <w:p>
      <w:pPr>
        <w:pStyle w:val="Normal"/>
        <w:rPr>
          <w:rFonts w:ascii="Arial" w:hAnsi="Arial" w:cs="Arial"/>
          <w:b/>
        </w:rPr>
      </w:pPr>
      <w:r>
        <w:rPr>
          <w:rFonts w:cs="Arial" w:ascii="Arial" w:hAnsi="Arial"/>
          <w:b/>
        </w:rPr>
      </w:r>
    </w:p>
    <w:p>
      <w:pPr>
        <w:pStyle w:val="BodyText"/>
        <w:rPr>
          <w:rFonts w:ascii="Arial" w:hAnsi="Arial" w:cs="Arial"/>
        </w:rPr>
      </w:pPr>
      <w:r>
        <w:rPr>
          <w:rFonts w:cs="Arial" w:ascii="Arial" w:hAnsi="Arial"/>
        </w:rPr>
        <w:t>A Supplier will be selected to supply natural gas based on the following:</w:t>
      </w:r>
    </w:p>
    <w:p>
      <w:pPr>
        <w:pStyle w:val="Normal"/>
        <w:numPr>
          <w:ilvl w:val="0"/>
          <w:numId w:val="4"/>
        </w:numPr>
        <w:rPr>
          <w:rFonts w:ascii="Arial" w:hAnsi="Arial" w:cs="Arial"/>
        </w:rPr>
      </w:pPr>
      <w:r>
        <w:rPr>
          <w:rFonts w:cs="Arial" w:ascii="Arial" w:hAnsi="Arial"/>
        </w:rPr>
        <w:t>lowest price offered;</w:t>
      </w:r>
    </w:p>
    <w:p>
      <w:pPr>
        <w:pStyle w:val="Normal"/>
        <w:numPr>
          <w:ilvl w:val="0"/>
          <w:numId w:val="4"/>
        </w:numPr>
        <w:rPr>
          <w:rFonts w:ascii="Arial" w:hAnsi="Arial" w:cs="Arial"/>
        </w:rPr>
      </w:pPr>
      <w:r>
        <w:rPr>
          <w:rFonts w:cs="Arial" w:ascii="Arial" w:hAnsi="Arial"/>
        </w:rPr>
        <w:t>ability to respond within a timely manner of receiving an Electronic Bid;</w:t>
      </w:r>
    </w:p>
    <w:p>
      <w:pPr>
        <w:pStyle w:val="Normal"/>
        <w:numPr>
          <w:ilvl w:val="0"/>
          <w:numId w:val="4"/>
        </w:numPr>
        <w:rPr>
          <w:rFonts w:ascii="Arial" w:hAnsi="Arial" w:cs="Arial"/>
        </w:rPr>
      </w:pPr>
      <w:r>
        <w:rPr>
          <w:rFonts w:cs="Arial" w:ascii="Arial" w:hAnsi="Arial"/>
        </w:rPr>
        <w:t>ability to deliver to a receipt point within 24 hours of acceptance of an Electronic Bid;</w:t>
      </w:r>
    </w:p>
    <w:p>
      <w:pPr>
        <w:pStyle w:val="Normal"/>
        <w:numPr>
          <w:ilvl w:val="0"/>
          <w:numId w:val="4"/>
        </w:numPr>
        <w:rPr>
          <w:rFonts w:ascii="Arial" w:hAnsi="Arial" w:cs="Arial"/>
        </w:rPr>
      </w:pPr>
      <w:r>
        <w:rPr>
          <w:rFonts w:cs="Arial" w:ascii="Arial" w:hAnsi="Arial"/>
        </w:rPr>
        <w:t>ability of a Supplier to provide natural gas that meets certain interstate and intrastate pipeline quality , and California Public Utility Commission  General Order 58A and 58B as they exist at the time the natural gas is provided.</w:t>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Note: A written confirmation must be received by the Department before performance may begin, using either Party’s standard confirmation form.</w:t>
      </w:r>
    </w:p>
    <w:p>
      <w:pPr>
        <w:pStyle w:val="Normal"/>
        <w:ind w:start="720" w:end="0"/>
        <w:rPr>
          <w:rFonts w:ascii="Arial" w:hAnsi="Arial" w:cs="Arial"/>
        </w:rPr>
      </w:pPr>
      <w:r>
        <w:rPr>
          <w:rFonts w:cs="Arial" w:ascii="Arial" w:hAnsi="Arial"/>
        </w:rPr>
      </w:r>
    </w:p>
    <w:p>
      <w:pPr>
        <w:pStyle w:val="Normal"/>
        <w:rPr>
          <w:rFonts w:ascii="Arial" w:hAnsi="Arial" w:cs="Arial"/>
          <w:b/>
        </w:rPr>
      </w:pPr>
      <w:r>
        <w:rPr>
          <w:rFonts w:cs="Arial" w:ascii="Arial" w:hAnsi="Arial"/>
          <w:b/>
        </w:rPr>
        <w:t>4.4</w:t>
        <w:tab/>
        <w:t>Delivery of Gas</w:t>
      </w:r>
    </w:p>
    <w:p>
      <w:pPr>
        <w:pStyle w:val="Normal"/>
        <w:rPr>
          <w:rFonts w:ascii="Arial" w:hAnsi="Arial" w:cs="Arial"/>
          <w:b/>
        </w:rPr>
      </w:pPr>
      <w:r>
        <w:rPr>
          <w:rFonts w:cs="Arial" w:ascii="Arial" w:hAnsi="Arial"/>
          <w:b/>
        </w:rPr>
      </w:r>
    </w:p>
    <w:p>
      <w:pPr>
        <w:pStyle w:val="BodyText"/>
        <w:rPr>
          <w:rFonts w:ascii="Arial" w:hAnsi="Arial" w:cs="Arial"/>
        </w:rPr>
      </w:pPr>
      <w:r>
        <w:rPr>
          <w:rFonts w:eastAsia="Arial" w:cs="Arial" w:ascii="Arial" w:hAnsi="Arial"/>
        </w:rPr>
        <w:t xml:space="preserve"> </w:t>
      </w:r>
      <w:r>
        <w:rPr>
          <w:rFonts w:cs="Arial" w:ascii="Arial" w:hAnsi="Arial"/>
        </w:rPr>
        <w:t>A Supplier selected by the Department for its purchase of natural gas pursuant to a Electronic Bid shall deliver or cause to be delivered, the natural gas to a receipt point specified at the date and time indicated on the Electronic Bid.</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5.0</w:t>
        <w:tab/>
      </w:r>
      <w:r>
        <w:rPr>
          <w:rFonts w:cs="Arial" w:ascii="Arial" w:hAnsi="Arial"/>
          <w:b/>
          <w:u w:val="single"/>
        </w:rPr>
        <w:t>GENERAL CONDITIONS</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5.1</w:t>
        <w:tab/>
        <w:t>Integrated Agreement</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t>This Agreement sets forth all of the rights and duties of the parties with respect to the subject matter hereof, and replaces any and all previous agreements or understandings, whether written or oral, relating thereto.  This Agreement may be amended only as provided for in paragraph5.1.1 hereof.</w:t>
      </w:r>
    </w:p>
    <w:p>
      <w:pPr>
        <w:pStyle w:val="Normal"/>
        <w:rPr>
          <w:rFonts w:ascii="Arial" w:hAnsi="Arial" w:cs="Arial"/>
          <w:b/>
        </w:rPr>
      </w:pPr>
      <w:r>
        <w:rPr>
          <w:rFonts w:cs="Arial" w:ascii="Arial" w:hAnsi="Arial"/>
          <w:b/>
        </w:rPr>
      </w:r>
    </w:p>
    <w:p>
      <w:pPr>
        <w:pStyle w:val="Normal"/>
        <w:rPr>
          <w:rFonts w:ascii="Arial" w:hAnsi="Arial" w:cs="Arial"/>
          <w:b/>
          <w:u w:val="single"/>
        </w:rPr>
      </w:pPr>
      <w:r>
        <w:rPr>
          <w:rFonts w:cs="Arial" w:ascii="Arial" w:hAnsi="Arial"/>
          <w:b/>
        </w:rPr>
        <w:t>5.1.1</w:t>
        <w:tab/>
        <w:t>Amendment</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t>All amendments hereto shall be in writing and signed by the person(s) authorized to bind the parties thereto.</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5.1.2</w:t>
        <w:tab/>
        <w:t>Prohibition Against Assignment or Delegation</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A Supplier may not, unless it has first obtained the written permission of the Department:</w:t>
      </w:r>
    </w:p>
    <w:p>
      <w:pPr>
        <w:pStyle w:val="Normal"/>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(a)</w:t>
        <w:tab/>
        <w:t>assign or otherwise alienate any of its rights hereunder, including the right to payment, or</w:t>
      </w:r>
    </w:p>
    <w:p>
      <w:pPr>
        <w:pStyle w:val="Normal"/>
        <w:ind w:hanging="720" w:start="1440" w:end="0"/>
        <w:rPr>
          <w:rFonts w:ascii="Arial" w:hAnsi="Arial" w:cs="Arial"/>
        </w:rPr>
      </w:pPr>
      <w:r>
        <w:rPr>
          <w:rFonts w:cs="Arial" w:ascii="Arial" w:hAnsi="Arial"/>
        </w:rPr>
        <w:t>(b)</w:t>
        <w:tab/>
        <w:t>delegate, subcontract, or otherwise transfer any of its duties hereunder.</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b/>
        </w:rPr>
        <w:t>5.1.3</w:t>
        <w:tab/>
        <w:t>Non-Waiver of Agreement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Department's failure to enforce any provision of this Agreement or the waiver thereof in a particular instance shall not be construed as a general waiver of any part of such provision.  The provision shall remain in full force and effect.</w:t>
      </w:r>
    </w:p>
    <w:p>
      <w:pPr>
        <w:pStyle w:val="Normal"/>
        <w:rPr>
          <w:rFonts w:ascii="Arial" w:hAnsi="Arial" w:cs="Arial"/>
        </w:rPr>
      </w:pPr>
      <w:r>
        <w:rPr>
          <w:rFonts w:cs="Arial" w:ascii="Arial" w:hAnsi="Arial"/>
        </w:rPr>
      </w:r>
      <w:r>
        <w:br w:type="page"/>
      </w:r>
    </w:p>
    <w:p>
      <w:pPr>
        <w:pStyle w:val="Normal"/>
        <w:rPr>
          <w:rFonts w:ascii="Arial" w:hAnsi="Arial" w:cs="Arial"/>
          <w:b/>
        </w:rPr>
      </w:pPr>
      <w:r>
        <w:rPr>
          <w:rFonts w:cs="Arial" w:ascii="Arial" w:hAnsi="Arial"/>
          <w:b/>
        </w:rPr>
        <w:t>5.1.4</w:t>
        <w:tab/>
        <w:t>Time of Effectiveness</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Unless otherwise provided, this Agreement shall take effect when all of the following events have occurred:</w:t>
      </w:r>
    </w:p>
    <w:p>
      <w:pPr>
        <w:pStyle w:val="Normal"/>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(a)</w:t>
        <w:tab/>
        <w:t>this Agreement has been signed on behalf of at least three of the Suppliers identified in paragraph 1.1 of this Agreement by the person(s) authorized to bind  said Suppliers hereto;</w:t>
      </w:r>
    </w:p>
    <w:p>
      <w:pPr>
        <w:pStyle w:val="Normal"/>
        <w:ind w:hanging="144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(b)</w:t>
        <w:tab/>
        <w:t>this Agreement has been approved for the Department by the City Council or by the Board, officer, or employee authorized to give such approval;</w:t>
      </w:r>
    </w:p>
    <w:p>
      <w:pPr>
        <w:pStyle w:val="Normal"/>
        <w:ind w:hanging="144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(c)</w:t>
        <w:tab/>
        <w:t>the Office of the City Attorney has indicated in writing its approval of this Agreement as to form and legality; and</w:t>
      </w:r>
    </w:p>
    <w:p>
      <w:pPr>
        <w:pStyle w:val="Normal"/>
        <w:ind w:hanging="144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(d)</w:t>
        <w:tab/>
        <w:t>this Agreement has been signed on behalf of the Department by the person designated by the Board, officer or employee authorized to enter into this Agreement.</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5.1.5</w:t>
        <w:tab/>
        <w:t>Independent Contractor</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Each Supplier is acting hereunder as an independent contractor and not as an agent or employee of the Department.  The Supplier shall not represent or otherwise hold out itself or any of its directors, officers, partners, employees, or agents to be an agent or employee of the Department.</w:t>
      </w:r>
    </w:p>
    <w:p>
      <w:pPr>
        <w:pStyle w:val="Normal"/>
        <w:rPr>
          <w:rFonts w:ascii="Arial" w:hAnsi="Arial" w:cs="Arial"/>
        </w:rPr>
      </w:pPr>
      <w:r>
        <w:rPr>
          <w:rFonts w:cs="Arial" w:ascii="Arial" w:hAnsi="Arial"/>
        </w:rPr>
      </w:r>
    </w:p>
    <w:p>
      <w:pPr>
        <w:pStyle w:val="Normal"/>
        <w:ind w:end="-360"/>
        <w:rPr>
          <w:rFonts w:ascii="Arial" w:hAnsi="Arial" w:cs="Arial"/>
        </w:rPr>
      </w:pPr>
      <w:r>
        <w:rPr>
          <w:rFonts w:cs="Arial" w:ascii="Arial" w:hAnsi="Arial"/>
          <w:b/>
        </w:rPr>
        <w:t>5.1.6</w:t>
        <w:tab/>
        <w:t>Applicable Law, Interpretation, Enforcement and Severability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Each party's performance hereunder shall comply with all applicable laws of the United States of America, the State of California, and the City of Los Angeles.  This Agreement shall be enforced and interpreted under the laws of the State of California and the City of Los Angeles, with venue in Los Angeles. Furthermore, in any dispute that arises under the terms of this Agreement each party shall be responsible for their own attorney’s fees and costs.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If any part, term or provision of this Agreement shall be held void, illegal, unenforceable, or in conflict with any law of a Federal, State or Local Government having jurisdiction over this Agreement, the validity of the remaining portions or provisions shall not be affected thereby.</w:t>
      </w:r>
    </w:p>
    <w:p>
      <w:pPr>
        <w:pStyle w:val="Normal"/>
        <w:rPr>
          <w:rFonts w:ascii="Arial" w:hAnsi="Arial" w:cs="Arial"/>
          <w:b/>
        </w:rPr>
      </w:pPr>
      <w:r>
        <w:rPr>
          <w:rFonts w:cs="Arial" w:ascii="Arial" w:hAnsi="Arial"/>
          <w:b/>
        </w:rPr>
      </w:r>
      <w:r>
        <w:br w:type="page"/>
      </w:r>
    </w:p>
    <w:p>
      <w:pPr>
        <w:pStyle w:val="Normal"/>
        <w:rPr>
          <w:rFonts w:ascii="Arial" w:hAnsi="Arial" w:cs="Arial"/>
          <w:b/>
        </w:rPr>
      </w:pPr>
      <w:r>
        <w:rPr>
          <w:rFonts w:cs="Arial" w:ascii="Arial" w:hAnsi="Arial"/>
          <w:b/>
        </w:rPr>
        <w:t>5.1.7</w:t>
        <w:tab/>
        <w:t>Representatives and Notices</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Any notice, demand, or request directed to the Department shall be delivered to:</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DEPARTMENT OF WATER AND POWER</w:t>
      </w:r>
    </w:p>
    <w:p>
      <w:pPr>
        <w:pStyle w:val="Normal"/>
        <w:ind w:firstLine="720" w:end="0"/>
        <w:rPr>
          <w:rFonts w:ascii="Arial" w:hAnsi="Arial" w:cs="Arial"/>
        </w:rPr>
      </w:pPr>
      <w:r>
        <w:rPr>
          <w:rFonts w:cs="Arial" w:ascii="Arial" w:hAnsi="Arial"/>
        </w:rPr>
        <w:t>CITY OF LOS ANGELES</w:t>
      </w:r>
    </w:p>
    <w:p>
      <w:pPr>
        <w:pStyle w:val="Normal"/>
        <w:ind w:firstLine="720" w:end="0"/>
        <w:rPr>
          <w:rFonts w:ascii="Arial" w:hAnsi="Arial" w:cs="Arial"/>
        </w:rPr>
      </w:pPr>
      <w:r>
        <w:rPr>
          <w:rFonts w:cs="Arial" w:ascii="Arial" w:hAnsi="Arial"/>
        </w:rPr>
        <w:t>Contract Administrator</w:t>
      </w:r>
    </w:p>
    <w:p>
      <w:pPr>
        <w:pStyle w:val="Normal"/>
        <w:ind w:firstLine="720" w:end="0"/>
        <w:rPr>
          <w:rFonts w:ascii="Arial" w:hAnsi="Arial" w:cs="Arial"/>
        </w:rPr>
      </w:pPr>
      <w:r>
        <w:rPr>
          <w:rFonts w:cs="Arial" w:ascii="Arial" w:hAnsi="Arial"/>
        </w:rPr>
        <w:t>Natural Gas Supply</w:t>
      </w:r>
    </w:p>
    <w:p>
      <w:pPr>
        <w:pStyle w:val="Normal"/>
        <w:ind w:firstLine="720" w:end="0"/>
        <w:rPr>
          <w:rFonts w:ascii="Arial" w:hAnsi="Arial" w:cs="Arial"/>
        </w:rPr>
      </w:pPr>
      <w:r>
        <w:rPr>
          <w:rFonts w:cs="Arial" w:ascii="Arial" w:hAnsi="Arial"/>
        </w:rPr>
        <w:t>111 North Hope Street, Room 1148</w:t>
      </w:r>
    </w:p>
    <w:p>
      <w:pPr>
        <w:pStyle w:val="Normal"/>
        <w:ind w:firstLine="720" w:end="0"/>
        <w:rPr>
          <w:rFonts w:ascii="Arial" w:hAnsi="Arial" w:cs="Arial"/>
        </w:rPr>
      </w:pPr>
      <w:r>
        <w:rPr>
          <w:rFonts w:cs="Arial" w:ascii="Arial" w:hAnsi="Arial"/>
        </w:rPr>
        <w:t>Los Angeles, California 90012-2694</w:t>
      </w:r>
    </w:p>
    <w:p>
      <w:pPr>
        <w:pStyle w:val="Normal"/>
        <w:ind w:firstLine="720" w:end="0"/>
        <w:rPr>
          <w:rFonts w:ascii="Arial" w:hAnsi="Arial" w:cs="Arial"/>
        </w:rPr>
      </w:pPr>
      <w:r>
        <w:rPr>
          <w:rFonts w:cs="Arial" w:ascii="Arial" w:hAnsi="Arial"/>
        </w:rPr>
        <w:t>Phone No. 818-771-6545</w:t>
      </w:r>
    </w:p>
    <w:p>
      <w:pPr>
        <w:pStyle w:val="Normal"/>
        <w:ind w:firstLine="720" w:end="0"/>
        <w:rPr>
          <w:rFonts w:ascii="Arial" w:hAnsi="Arial" w:cs="Arial"/>
        </w:rPr>
      </w:pPr>
      <w:r>
        <w:rPr>
          <w:rFonts w:cs="Arial" w:ascii="Arial" w:hAnsi="Arial"/>
        </w:rPr>
        <w:t>Fax No.  818-771-6565</w:t>
      </w:r>
    </w:p>
    <w:p>
      <w:pPr>
        <w:pStyle w:val="Normal"/>
        <w:ind w:firstLine="720" w:end="0"/>
        <w:rPr>
          <w:rFonts w:ascii="Arial" w:hAnsi="Arial" w:cs="Arial"/>
        </w:rPr>
      </w:pPr>
      <w:r>
        <w:rPr>
          <w:rFonts w:cs="Arial" w:ascii="Arial" w:hAnsi="Arial"/>
        </w:rPr>
        <w:t xml:space="preserve">E-mail Address:  masud@ladwp.com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Any notice, demand, or request directed to Supplier shall be delivered to:</w:t>
      </w:r>
    </w:p>
    <w:p>
      <w:pPr>
        <w:pStyle w:val="Normal"/>
        <w:rPr>
          <w:rFonts w:ascii="Arial" w:hAnsi="Arial" w:cs="Arial"/>
        </w:rPr>
      </w:pPr>
      <w:r>
        <w:rPr>
          <w:rFonts w:cs="Arial" w:ascii="Arial" w:hAnsi="Arial"/>
        </w:rPr>
      </w:r>
    </w:p>
    <w:tbl>
      <w:tblPr>
        <w:tblW w:w="6678" w:type="dxa"/>
        <w:jc w:val="start"/>
        <w:tblInd w:w="0" w:type="dxa"/>
        <w:tblLayout w:type="fixed"/>
        <w:tblCellMar>
          <w:top w:w="0" w:type="dxa"/>
          <w:start w:w="108" w:type="dxa"/>
          <w:bottom w:w="0" w:type="dxa"/>
          <w:end w:w="108" w:type="dxa"/>
        </w:tblCellMar>
      </w:tblPr>
      <w:tblGrid>
        <w:gridCol w:w="6678"/>
      </w:tblGrid>
      <w:tr>
        <w:trPr/>
        <w:tc>
          <w:tcPr>
            <w:tcW w:w="6678" w:type="dxa"/>
            <w:tcBorders/>
          </w:tcPr>
          <w:p>
            <w:pPr>
              <w:pStyle w:val="Normal"/>
              <w:rPr>
                <w:rFonts w:ascii="Arial" w:hAnsi="Arial" w:cs="Arial"/>
              </w:rPr>
            </w:pPr>
            <w:r>
              <w:rPr>
                <w:rFonts w:cs="Arial" w:ascii="Arial" w:hAnsi="Arial"/>
              </w:rPr>
              <w:t>Name___________________________________________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Address_________________________________________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Phone No. 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E-mail Address____________________________________</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Such correspondence shall be in writing, except as specified elsewhere in this Agreement.  Service will be deemed complete upon receipt.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5.1.8</w:t>
        <w:tab/>
        <w:t>Change of Address or Representatives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Any Party, by written notice, may designate different or additional person(s), different addresses, or electronic address.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5.1.9</w:t>
        <w:tab/>
        <w:t>Excusable Delays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 the event that performance on the part of any party hereto shall be delayed or suspended as a result of circumstances beyond the reasonable control and without the fault and negligence of said party, none of the parties shall incur any liability to the other parties as a result of such delay or suspension.  Circumstances deemed to be beyond the control of the parties hereunder shall include, but not limited to, events of national emergency, acts of God or of the public enemy; insurrection; acts of the Federal Government or any unit of State or Local Government in either sovereign or contractual capacity; fires; floods; epidemics; quarantine restrictions; strikes; freight embargoes or delays in transportation; to the extent that they are not caused by the party's willful or negligent acts or omissions, and to the extent that they are beyond the party's reasonable control.</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5.10</w:t>
        <w:tab/>
        <w:t>Breach</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Except for excusable delays, if any party fails to perform, in whole or in part, any promise, covenant, or agreement set forth herein, or should any representation made by it be untrue, any aggrieved party may avail itself of all rights and remedies, at law or equity, in the courts of law.  Said rights and remedies are cumulative of those provided for herein except that in no event shall any party recover more than once, suffer a penalty or forfeiture, or be unjustly compensated.</w:t>
      </w:r>
    </w:p>
    <w:p>
      <w:pPr>
        <w:pStyle w:val="Normal"/>
        <w:rPr>
          <w:rFonts w:ascii="Arial" w:hAnsi="Arial" w:cs="Arial"/>
        </w:rPr>
      </w:pPr>
      <w:r>
        <w:rPr>
          <w:rFonts w:cs="Arial" w:ascii="Arial" w:hAnsi="Arial"/>
        </w:rPr>
      </w:r>
    </w:p>
    <w:p>
      <w:pPr>
        <w:pStyle w:val="Normal"/>
        <w:rPr>
          <w:rFonts w:ascii="Arial" w:hAnsi="Arial" w:cs="Arial"/>
        </w:rPr>
      </w:pPr>
      <w:r>
        <w:rPr/>
        <w:t>Neither Party shall be liable to the other Party and each Party hereby releases the other Party from and agrees to hold harmless the other Party against any claim, demand, liability, loss or damage, whether directly, indirectly, or consequentially incurred by either Party, any customer of either Party, or any entity interconnected with the physical facilities of a Party (except for claims of one Party hereto regarding the breach by the other Party of any of its obligations hereunder), which results from the provision of service under this Agreement.  Damages shall be limited to actual damages incurred.</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5.11</w:t>
        <w:tab/>
        <w:t>Permits</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The Supplier and its officers, agents and employees shall obtain and maintain all permits and licenses necessary for the Supplier's performance hereunder and shall pay any fees required therefor.</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5.12</w:t>
        <w:tab/>
        <w:t>Suspension and Termination</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5.12.1</w:t>
        <w:tab/>
        <w:t xml:space="preserve">   Suspension of Delivery</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The Contract Administrator may orally direct a Supplier to suspend, and to subsequently resume performance of all or any part of the delivery of natural gas.  Such direction shall be confirmed in writing.  An equitable adjustment in the natural gas delivery schedule and price (if fixed price) shall be negotiated and confirmed by a Change Order or a revision to a delivery nomination if such suspension impacts the cost of the volume and delivery schedule.  The Department shall complete the payments due for the gas delivered up to the effective date of suspension of deliveries notice and shall resume payments effective as of the delivery resumption date.</w:t>
      </w:r>
    </w:p>
    <w:p>
      <w:pPr>
        <w:pStyle w:val="Normal"/>
        <w:rPr>
          <w:rFonts w:ascii="Arial" w:hAnsi="Arial" w:cs="Arial"/>
        </w:rPr>
      </w:pPr>
      <w:r>
        <w:rPr>
          <w:rFonts w:cs="Arial" w:ascii="Arial" w:hAnsi="Arial"/>
        </w:rPr>
      </w:r>
      <w:r>
        <w:br w:type="page"/>
      </w:r>
    </w:p>
    <w:p>
      <w:pPr>
        <w:pStyle w:val="Normal"/>
        <w:rPr>
          <w:rFonts w:ascii="Arial" w:hAnsi="Arial" w:cs="Arial"/>
          <w:b/>
        </w:rPr>
      </w:pPr>
      <w:r>
        <w:rPr>
          <w:rFonts w:cs="Arial" w:ascii="Arial" w:hAnsi="Arial"/>
          <w:b/>
        </w:rPr>
        <w:t>5.12.2</w:t>
        <w:tab/>
        <w:t xml:space="preserve">       Termination of Agreement</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b/>
        </w:rPr>
        <w:t>5.12.2.1</w:t>
        <w:tab/>
        <w:t>Cancellation Without Cause</w:t>
      </w:r>
    </w:p>
    <w:p>
      <w:pPr>
        <w:pStyle w:val="Normal"/>
        <w:rPr>
          <w:rFonts w:ascii="Arial" w:hAnsi="Arial" w:cs="Arial"/>
        </w:rPr>
      </w:pPr>
      <w:r>
        <w:rPr>
          <w:rFonts w:cs="Arial" w:ascii="Arial" w:hAnsi="Arial"/>
        </w:rPr>
      </w:r>
    </w:p>
    <w:p>
      <w:pPr>
        <w:pStyle w:val="BodyText"/>
        <w:rPr>
          <w:rFonts w:ascii="Arial" w:hAnsi="Arial" w:cs="Arial"/>
        </w:rPr>
      </w:pPr>
      <w:r>
        <w:rPr>
          <w:rFonts w:cs="Arial" w:ascii="Arial" w:hAnsi="Arial"/>
        </w:rPr>
        <w:t>This Agreement may be canceled by the Department, without cause, on 30-calendar days' written notice or at any time by mutual agreement of the parties.  The Department may remove a Supplier from this Agreement, without cause, on 30-calendar days’ written notice or at any time by mutual agreement of the parties without voiding this Agreement with the other Suppliers from whom the Department purchases gas.  Said notice, on the Department's behalf, will be given by the Contract Administrator.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Upon receipt of such notice, the Supplier may complete the agreed upon deliveries of gas and shall be entitled to payment for all gas supplied to and agreed upon prior to cancellation.</w:t>
      </w:r>
      <w:r>
        <w:rPr>
          <w:rFonts w:cs="Arial" w:ascii="Arial" w:hAnsi="Arial"/>
          <w:strike/>
        </w:rPr>
        <w:t xml:space="preserve"> </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5.12.2.2</w:t>
        <w:tab/>
        <w:t>Cancellation for Cause</w:t>
      </w:r>
    </w:p>
    <w:p>
      <w:pPr>
        <w:pStyle w:val="Normal"/>
        <w:rPr>
          <w:rFonts w:ascii="Arial" w:hAnsi="Arial" w:cs="Arial"/>
          <w:b/>
        </w:rPr>
      </w:pPr>
      <w:r>
        <w:rPr>
          <w:rFonts w:cs="Arial" w:ascii="Arial" w:hAnsi="Arial"/>
          <w:b/>
        </w:rPr>
      </w:r>
    </w:p>
    <w:p>
      <w:pPr>
        <w:pStyle w:val="BodyText"/>
        <w:rPr>
          <w:rFonts w:ascii="Arial" w:hAnsi="Arial" w:cs="Arial"/>
        </w:rPr>
      </w:pPr>
      <w:r>
        <w:rPr>
          <w:rFonts w:cs="Arial" w:ascii="Arial" w:hAnsi="Arial"/>
        </w:rPr>
        <w:t xml:space="preserve">In the event of default by a Supplier, the Department, upon 15-calendar days' written notice to a Supplier, may terminate a Supplier as provided herein without canceling the entire Agreement with the remaining other Suppliers.  It shall be considered a default by a Supplier whenever it shall:  (1) declare bankruptcy, become insolvent, or assign its assets for the benefit of its creditors;  (2) fail to provide natural gas meeting the requirements of the Specifications;  (3) disregard or violate important provisions of the Contract Documents or fail to deliver the natural gas according to the agreed schedule. </w:t>
      </w:r>
    </w:p>
    <w:p>
      <w:pPr>
        <w:pStyle w:val="BodyText"/>
        <w:rPr>
          <w:rFonts w:ascii="Arial" w:hAnsi="Arial" w:cs="Arial"/>
        </w:rPr>
      </w:pPr>
      <w:r>
        <w:rPr>
          <w:rFonts w:cs="Arial" w:ascii="Arial" w:hAnsi="Arial"/>
        </w:rPr>
      </w:r>
    </w:p>
    <w:p>
      <w:pPr>
        <w:pStyle w:val="Normal"/>
        <w:rPr>
          <w:rFonts w:ascii="Arial" w:hAnsi="Arial" w:cs="Arial"/>
        </w:rPr>
      </w:pPr>
      <w:r>
        <w:rPr>
          <w:rFonts w:cs="Arial" w:ascii="Arial" w:hAnsi="Arial"/>
        </w:rPr>
        <w:t>In the event the Agreement is terminated in accordance with this subsection, the Department may obtain the remaining balance of natural gas which was to be supplied by the defaulting Supplier and seek damages from the cancelled supply of natural gas by whatever method or means the Department may select.  The cost of completing the natural gas deliveries shall be deducted from the balance which would have been due the Supplier had the Agreement not been terminated as to that Supplier and the natural gas delivered in accordance with the Contract Documents.  If such cost exceeds the balance which would have been due, the defaulting Supplier shall pay the excess amount to the Department.  If such cost is less then the balance which would have been due, the defaulting Supplier shall not have claim to the difference except to such extent as may be necessary, in the opinion of the Contract Administrator, to reimburse the defaulting Supplier or its sureties for any expense properly incurred for the natural gas.</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b/>
        </w:rPr>
        <w:t>5.12. 2.3</w:t>
        <w:tab/>
        <w:t>Termination Due to Expenditure Limit</w:t>
      </w:r>
    </w:p>
    <w:p>
      <w:pPr>
        <w:pStyle w:val="Normal"/>
        <w:rPr>
          <w:rFonts w:ascii="Arial" w:hAnsi="Arial" w:cs="Arial"/>
        </w:rPr>
      </w:pPr>
      <w:r>
        <w:rPr>
          <w:rFonts w:cs="Arial" w:ascii="Arial" w:hAnsi="Arial"/>
        </w:rPr>
      </w:r>
    </w:p>
    <w:p>
      <w:pPr>
        <w:pStyle w:val="Normal"/>
        <w:rPr/>
      </w:pPr>
      <w:r>
        <w:rPr>
          <w:rFonts w:cs="Arial" w:ascii="Arial" w:hAnsi="Arial"/>
        </w:rPr>
        <w:t>This Agreement shall automatically terminate when the Department has expended a total of  $375,000,000 per calendar year</w:t>
      </w:r>
      <w:r>
        <w:rPr>
          <w:rFonts w:cs="Arial" w:ascii="Arial" w:hAnsi="Arial"/>
          <w:color w:val="FF0000"/>
        </w:rPr>
        <w:t xml:space="preserve"> </w:t>
      </w:r>
      <w:r>
        <w:rPr>
          <w:rFonts w:cs="Arial" w:ascii="Arial" w:hAnsi="Arial"/>
        </w:rPr>
        <w:t>for natural gas purchased under this Agreement.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5.12.2.4</w:t>
        <w:tab/>
        <w:t>Expiration of Agreement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Unless amended, this Agreement expires thirty-six (36) months after the effective date established pursuant to paragraph 5.1.4 of this Agreement.</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 xml:space="preserve">6.0  </w:t>
      </w:r>
      <w:r>
        <w:rPr>
          <w:rFonts w:cs="Arial" w:ascii="Arial" w:hAnsi="Arial"/>
          <w:b/>
          <w:u w:val="single"/>
        </w:rPr>
        <w:t>COMPENSATION</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Compensation for natural gas sold to the Department pursuant to an Electronic Bid shall be in accordance with the specified price contained in the Supplier’s response to the Electronic Bid.  Department’s obligation to pay a Supplier for such purchase is subject to prior verification by the transporting pipelines.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6.1</w:t>
        <w:tab/>
        <w:t>Expenditure Limits</w:t>
      </w:r>
    </w:p>
    <w:p>
      <w:pPr>
        <w:pStyle w:val="Normal"/>
        <w:rPr>
          <w:rFonts w:ascii="Arial" w:hAnsi="Arial" w:cs="Arial"/>
        </w:rPr>
      </w:pPr>
      <w:r>
        <w:rPr>
          <w:rFonts w:cs="Arial" w:ascii="Arial" w:hAnsi="Arial"/>
        </w:rPr>
      </w:r>
    </w:p>
    <w:p>
      <w:pPr>
        <w:pStyle w:val="Normal"/>
        <w:rPr/>
      </w:pPr>
      <w:r>
        <w:rPr>
          <w:rFonts w:cs="Arial" w:ascii="Arial" w:hAnsi="Arial"/>
        </w:rPr>
        <w:t>The total amount to be expended by the Department under this Agreement shall not exceed $375,000,000 per calendar year</w:t>
      </w:r>
      <w:r>
        <w:rPr>
          <w:rFonts w:cs="Arial" w:ascii="Arial" w:hAnsi="Arial"/>
          <w:color w:val="FF0000"/>
        </w:rPr>
        <w:t xml:space="preserve"> </w:t>
      </w:r>
      <w:r>
        <w:rPr>
          <w:rFonts w:cs="Arial" w:ascii="Arial" w:hAnsi="Arial"/>
        </w:rPr>
        <w:t>without further appropriation to this Agreement by the Board of Water and Power Commissioners of the City of Los Angeles.</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7.0</w:t>
        <w:tab/>
      </w:r>
      <w:r>
        <w:rPr>
          <w:rFonts w:cs="Arial" w:ascii="Arial" w:hAnsi="Arial"/>
          <w:b/>
          <w:u w:val="single"/>
        </w:rPr>
        <w:t>BUSINESS POLICIES</w:t>
      </w:r>
    </w:p>
    <w:p>
      <w:pPr>
        <w:pStyle w:val="Normal"/>
        <w:rPr>
          <w:rFonts w:ascii="Arial" w:hAnsi="Arial" w:cs="Arial"/>
          <w:b/>
        </w:rPr>
      </w:pPr>
      <w:r>
        <w:rPr>
          <w:rFonts w:cs="Arial" w:ascii="Arial" w:hAnsi="Arial"/>
          <w:b/>
        </w:rPr>
      </w:r>
    </w:p>
    <w:p>
      <w:pPr>
        <w:pStyle w:val="Heading1"/>
        <w:ind w:hanging="0" w:start="0"/>
        <w:rPr>
          <w:rFonts w:ascii="Arial" w:hAnsi="Arial" w:cs="Arial"/>
          <w:b/>
          <w:u w:val="none"/>
        </w:rPr>
      </w:pPr>
      <w:r>
        <w:rPr>
          <w:rFonts w:cs="Arial" w:ascii="Arial" w:hAnsi="Arial"/>
          <w:b/>
          <w:u w:val="none"/>
        </w:rPr>
        <w:t>7.1</w:t>
        <w:tab/>
        <w:t>Affirmative Action</w:t>
      </w:r>
    </w:p>
    <w:p>
      <w:pPr>
        <w:pStyle w:val="Normal"/>
        <w:ind w:end="-90"/>
        <w:rPr>
          <w:rFonts w:ascii="Arial" w:hAnsi="Arial" w:cs="Arial"/>
          <w:b/>
          <w:u w:val="none"/>
        </w:rPr>
      </w:pPr>
      <w:r>
        <w:rPr>
          <w:rFonts w:cs="Arial" w:ascii="Arial" w:hAnsi="Arial"/>
          <w:b/>
          <w:u w:val="none"/>
        </w:rPr>
      </w:r>
    </w:p>
    <w:p>
      <w:pPr>
        <w:pStyle w:val="Normal"/>
        <w:ind w:end="-90"/>
        <w:rPr>
          <w:rFonts w:ascii="Arial" w:hAnsi="Arial" w:cs="Arial"/>
        </w:rPr>
      </w:pPr>
      <w:r>
        <w:rPr>
          <w:rFonts w:cs="Arial" w:ascii="Arial" w:hAnsi="Arial"/>
        </w:rPr>
        <w:t>During the performance of this Agreement, the Supplier shall not discriminate in its employment practices against any employee or applicant for employment because of race, religion, national origin, ancestry, sex, age or physical handicap.  All subcontracts awarded under this Agreement shall contain a like nondiscrimination provision.  The applicable provisions of Executive Order No. 11246 of September 24, 1965; Part 60-741 of 41 CFR pertaining to handicapped workers, including 60-741.4 Affirmative Action Clause; and Sections 10.8 to 10.13 of the Los Angeles Administrative Code pertaining to nondiscrimination in employment in the performance of City contracts are incorporated herein by reference and made a part hereof as if they were fully set forth herein.</w:t>
      </w:r>
    </w:p>
    <w:p>
      <w:pPr>
        <w:pStyle w:val="Normal"/>
        <w:rPr>
          <w:rFonts w:ascii="Arial" w:hAnsi="Arial" w:cs="Arial"/>
        </w:rPr>
      </w:pPr>
      <w:r>
        <w:rPr>
          <w:rFonts w:cs="Arial" w:ascii="Arial" w:hAnsi="Arial"/>
        </w:rPr>
      </w:r>
    </w:p>
    <w:p>
      <w:pPr>
        <w:pStyle w:val="BodyText2"/>
        <w:rPr>
          <w:rFonts w:ascii="Arial" w:hAnsi="Arial" w:cs="Arial"/>
          <w:b/>
        </w:rPr>
      </w:pPr>
      <w:r>
        <w:rPr>
          <w:rFonts w:cs="Arial" w:ascii="Arial" w:hAnsi="Arial"/>
          <w:b/>
        </w:rPr>
        <w:t xml:space="preserve">7.2 </w:t>
        <w:tab/>
        <w:t>Minority and Women Business Enterprise (MBE/WBE) Outreach Program</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It is the policy of the Department to provide Minority Business Enterprises (MBEs), Women Business Enterprises (WBEs) and all other business enterprises an equal opportunity to participate in the performance of all Department contracts. Each Supplier to this Agreement shall assist the Department in implementing this policy and shall use its best effort to attain MBE and WBE participation of 15 percent and 7 percent, respectively, and to ensure that all available business enterprises, including MBEs and WBEs, have an equal opportunity to compete for and participate in the work of this Agreement.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7.2.1</w:t>
        <w:tab/>
        <w:t>MBE/WBE Defined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"Minority Business Enterprise" (MBE) or "Women's Business Enterprise" (WBE), as used herein means a business enterprise that meets both of the following criteria:</w:t>
      </w:r>
    </w:p>
    <w:p>
      <w:pPr>
        <w:pStyle w:val="Normal"/>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1.</w:t>
        <w:tab/>
        <w:t>A business that is at least 51 percent owned by one or more minority person(s) or women or, in the case of any business whose stock is publicly held, at least 51 percent of the stock is owned by one or more minority person(s) or women.</w:t>
      </w:r>
    </w:p>
    <w:p>
      <w:pPr>
        <w:pStyle w:val="Normal"/>
        <w:ind w:hanging="72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2.</w:t>
        <w:tab/>
        <w:t>A business whose management and daily business operations are controlled by one or more minority person(s) or women.</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7.2.2</w:t>
        <w:tab/>
        <w:t>Efforts to Obtain Participation</w:t>
      </w:r>
    </w:p>
    <w:p>
      <w:pPr>
        <w:pStyle w:val="Normal"/>
        <w:rPr>
          <w:rFonts w:ascii="Arial" w:hAnsi="Arial" w:cs="Arial"/>
          <w:b/>
        </w:rPr>
      </w:pPr>
      <w:r>
        <w:rPr>
          <w:rFonts w:cs="Arial" w:ascii="Arial" w:hAnsi="Arial"/>
          <w:b/>
        </w:rPr>
      </w:r>
    </w:p>
    <w:p>
      <w:pPr>
        <w:pStyle w:val="BodyText"/>
        <w:rPr>
          <w:rFonts w:ascii="Arial" w:hAnsi="Arial" w:cs="Arial"/>
        </w:rPr>
      </w:pPr>
      <w:r>
        <w:rPr>
          <w:rFonts w:cs="Arial" w:ascii="Arial" w:hAnsi="Arial"/>
        </w:rPr>
        <w:t>Efforts to obtain participation of MBEs, WBEs, and other business enterprises could reasonably be expected to produce a level of participation by interested sub contractors, including 15 percent MBEs and 7 percent WBEs.  Good faith efforts to reach out to MBEs, WBEs, and all other business enterprises shall be determined by the following factors:</w:t>
      </w:r>
    </w:p>
    <w:p>
      <w:pPr>
        <w:pStyle w:val="Normal"/>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1.</w:t>
        <w:tab/>
        <w:t>Meetings with MBEs, WBEs, associations representing MBEs, WBEs and other groups.</w:t>
      </w:r>
    </w:p>
    <w:p>
      <w:pPr>
        <w:pStyle w:val="Normal"/>
        <w:ind w:hanging="72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2.</w:t>
        <w:tab/>
        <w:t>Identification of selected portions of the work to be performed by subcontractors in order to provide participation by MBEs, WBEs, and other business enterprises.  The Supplier shall, when economically feasible, divide total contract requirements into small portions or quantities to permit maximum participation of MBEs, WBEs, and other business enterprises.</w:t>
      </w:r>
    </w:p>
    <w:p>
      <w:pPr>
        <w:pStyle w:val="Normal"/>
        <w:ind w:hanging="72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3.</w:t>
        <w:tab/>
        <w:t>Requests for proposals from interested business enterprises or proposals in newspapers, trade association publications, minority or trade-oriented publications, trade journals, or other appropriate media.</w:t>
      </w:r>
    </w:p>
    <w:p>
      <w:pPr>
        <w:pStyle w:val="Normal"/>
        <w:ind w:hanging="720" w:start="1440" w:end="0"/>
        <w:rPr>
          <w:rFonts w:ascii="Arial" w:hAnsi="Arial" w:cs="Arial"/>
        </w:rPr>
      </w:pPr>
      <w:r>
        <w:rPr>
          <w:rFonts w:cs="Arial" w:ascii="Arial" w:hAnsi="Arial"/>
        </w:rPr>
      </w:r>
    </w:p>
    <w:p>
      <w:pPr>
        <w:pStyle w:val="Normal"/>
        <w:ind w:hanging="720" w:start="1440" w:end="0"/>
        <w:rPr/>
      </w:pPr>
      <w:r>
        <w:rPr>
          <w:rFonts w:cs="Arial" w:ascii="Arial" w:hAnsi="Arial"/>
        </w:rPr>
        <w:t>4.</w:t>
        <w:tab/>
        <w:t>Providing written notice to those business enterprises, including MBEs and WBEs, having an interest in participating in this Agreement.  The Supplier</w:t>
      </w:r>
      <w:r>
        <w:rPr>
          <w:rFonts w:cs="Arial" w:ascii="Arial" w:hAnsi="Arial"/>
          <w:b/>
        </w:rPr>
        <w:t xml:space="preserve"> </w:t>
      </w:r>
      <w:r>
        <w:rPr>
          <w:rFonts w:cs="Arial" w:ascii="Arial" w:hAnsi="Arial"/>
        </w:rPr>
        <w:t>shall document that invitations were sent to available MBEs, WBEs, and other business enterprises for each portion of the work.</w:t>
      </w:r>
    </w:p>
    <w:p>
      <w:pPr>
        <w:pStyle w:val="Normal"/>
        <w:ind w:hanging="72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5.</w:t>
        <w:tab/>
        <w:t>Documenting efforts to follow up initial solicitations of interest by contacting the business enterprises to determine whether the enterprises are interested in participating in the work.</w:t>
      </w:r>
    </w:p>
    <w:p>
      <w:pPr>
        <w:pStyle w:val="Normal"/>
        <w:ind w:hanging="72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6.</w:t>
        <w:tab/>
        <w:t>Providing interested enterprises with information about the plans, specifications, and requirements for the selected subcontracting work.</w:t>
      </w:r>
    </w:p>
    <w:p>
      <w:pPr>
        <w:pStyle w:val="Normal"/>
        <w:ind w:hanging="72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7.</w:t>
        <w:tab/>
        <w:t>Requesting assistance from organizations that provide assistance in the recruitment and placement of MBEs, WBEs, and other business enterprises.</w:t>
      </w:r>
    </w:p>
    <w:p>
      <w:pPr>
        <w:pStyle w:val="Normal"/>
        <w:ind w:hanging="72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8.</w:t>
        <w:tab/>
        <w:t>Negotiating in good faith with interested MBEs, WBEs, and other business enterprises and not unjustifiably rejecting proposals prepared by any enterprise.  As documentation, the bidder shall submit a list of all documentation, the bidder shall submit a list of all sub-bidders for each portion of potential work for MBEs, WBEs, and other business enterprises.</w:t>
      </w:r>
    </w:p>
    <w:p>
      <w:pPr>
        <w:pStyle w:val="Normal"/>
        <w:ind w:hanging="72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9.</w:t>
        <w:tab/>
        <w:t>Documenting efforts to advise and assist interested MBEs, WBEs and other business enterprises in obtaining bonds, lines of credit, or required insurance.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7.2.3</w:t>
        <w:tab/>
        <w:t>Program Documentation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Each Supplier who is signatory to this Agreement shall submit monthly reports to the Contract Administrator demonstrating compliance with the Department's Outreach Program, and make related records available to the Department upon request.  The reports shall be submitted on Department forms which can be obtained from the Contract Administrator, and show the following:</w:t>
      </w:r>
    </w:p>
    <w:p>
      <w:pPr>
        <w:pStyle w:val="Normal"/>
        <w:rPr>
          <w:rFonts w:ascii="Arial" w:hAnsi="Arial" w:cs="Arial"/>
        </w:rPr>
      </w:pPr>
      <w:r>
        <w:rPr>
          <w:rFonts w:cs="Arial" w:ascii="Arial" w:hAnsi="Arial"/>
        </w:rPr>
      </w:r>
    </w:p>
    <w:p>
      <w:pPr>
        <w:pStyle w:val="Normal"/>
        <w:tabs>
          <w:tab w:val="left" w:pos="720" w:leader="none"/>
        </w:tabs>
        <w:ind w:hanging="720" w:start="720" w:end="0"/>
        <w:rPr>
          <w:rFonts w:ascii="Arial" w:hAnsi="Arial" w:cs="Arial"/>
        </w:rPr>
      </w:pPr>
      <w:r>
        <w:rPr>
          <w:rFonts w:cs="Arial" w:ascii="Arial" w:hAnsi="Arial"/>
        </w:rPr>
        <w:tab/>
        <w:t>1.</w:t>
        <w:tab/>
        <w:t>the name of each participating subcontractor;</w:t>
      </w:r>
    </w:p>
    <w:p>
      <w:pPr>
        <w:pStyle w:val="Normal"/>
        <w:tabs>
          <w:tab w:val="left" w:pos="720" w:leader="none"/>
        </w:tabs>
        <w:ind w:hanging="720" w:start="720" w:end="0"/>
        <w:rPr>
          <w:rFonts w:ascii="Arial" w:hAnsi="Arial" w:cs="Arial"/>
        </w:rPr>
      </w:pPr>
      <w:r>
        <w:rPr>
          <w:rFonts w:cs="Arial" w:ascii="Arial" w:hAnsi="Arial"/>
        </w:rPr>
      </w:r>
    </w:p>
    <w:p>
      <w:pPr>
        <w:pStyle w:val="Normal"/>
        <w:tabs>
          <w:tab w:val="left" w:pos="720" w:leader="none"/>
        </w:tabs>
        <w:ind w:hanging="720" w:start="720" w:end="0"/>
        <w:rPr>
          <w:rFonts w:ascii="Arial" w:hAnsi="Arial" w:cs="Arial"/>
        </w:rPr>
      </w:pPr>
      <w:r>
        <w:rPr>
          <w:rFonts w:cs="Arial" w:ascii="Arial" w:hAnsi="Arial"/>
        </w:rPr>
        <w:tab/>
        <w:t>2.</w:t>
        <w:tab/>
        <w:t>description of work each subcontractor has contracted to perform;</w:t>
      </w:r>
    </w:p>
    <w:p>
      <w:pPr>
        <w:pStyle w:val="Normal"/>
        <w:tabs>
          <w:tab w:val="left" w:pos="720" w:leader="none"/>
        </w:tabs>
        <w:ind w:hanging="720" w:start="720" w:end="0"/>
        <w:rPr>
          <w:rFonts w:ascii="Arial" w:hAnsi="Arial" w:cs="Arial"/>
        </w:rPr>
      </w:pPr>
      <w:r>
        <w:rPr>
          <w:rFonts w:cs="Arial" w:ascii="Arial" w:hAnsi="Arial"/>
        </w:rPr>
      </w:r>
    </w:p>
    <w:p>
      <w:pPr>
        <w:pStyle w:val="Normal"/>
        <w:tabs>
          <w:tab w:val="left" w:pos="720" w:leader="none"/>
        </w:tabs>
        <w:ind w:hanging="720" w:start="720" w:end="0"/>
        <w:rPr>
          <w:rFonts w:ascii="Arial" w:hAnsi="Arial" w:cs="Arial"/>
        </w:rPr>
      </w:pPr>
      <w:r>
        <w:rPr>
          <w:rFonts w:cs="Arial" w:ascii="Arial" w:hAnsi="Arial"/>
        </w:rPr>
        <w:tab/>
        <w:t>3.</w:t>
        <w:tab/>
        <w:t>the percentage of completion for the work under each subcontract;</w:t>
      </w:r>
    </w:p>
    <w:p>
      <w:pPr>
        <w:pStyle w:val="Normal"/>
        <w:tabs>
          <w:tab w:val="left" w:pos="720" w:leader="none"/>
        </w:tabs>
        <w:ind w:hanging="720" w:start="720" w:end="0"/>
        <w:rPr>
          <w:rFonts w:ascii="Arial" w:hAnsi="Arial" w:cs="Arial"/>
        </w:rPr>
      </w:pPr>
      <w:r>
        <w:rPr>
          <w:rFonts w:cs="Arial" w:ascii="Arial" w:hAnsi="Arial"/>
        </w:rPr>
      </w:r>
    </w:p>
    <w:p>
      <w:pPr>
        <w:pStyle w:val="Normal"/>
        <w:tabs>
          <w:tab w:val="left" w:pos="720" w:leader="none"/>
        </w:tabs>
        <w:ind w:hanging="1440" w:start="1440" w:end="0"/>
        <w:rPr>
          <w:rFonts w:ascii="Arial" w:hAnsi="Arial" w:cs="Arial"/>
        </w:rPr>
      </w:pPr>
      <w:r>
        <w:rPr>
          <w:rFonts w:cs="Arial" w:ascii="Arial" w:hAnsi="Arial"/>
        </w:rPr>
        <w:tab/>
        <w:t>4.</w:t>
        <w:tab/>
        <w:t>the compensation contracted to be paid to each subcontractor(attach copy of subcontractor's invoice);</w:t>
      </w:r>
    </w:p>
    <w:p>
      <w:pPr>
        <w:pStyle w:val="Normal"/>
        <w:tabs>
          <w:tab w:val="left" w:pos="720" w:leader="none"/>
        </w:tabs>
        <w:ind w:hanging="720" w:start="720" w:end="0"/>
        <w:rPr>
          <w:rFonts w:ascii="Arial" w:hAnsi="Arial" w:cs="Arial"/>
        </w:rPr>
      </w:pPr>
      <w:r>
        <w:rPr>
          <w:rFonts w:cs="Arial" w:ascii="Arial" w:hAnsi="Arial"/>
        </w:rPr>
      </w:r>
    </w:p>
    <w:p>
      <w:pPr>
        <w:pStyle w:val="Normal"/>
        <w:tabs>
          <w:tab w:val="left" w:pos="720" w:leader="none"/>
        </w:tabs>
        <w:ind w:hanging="720" w:start="720" w:end="0"/>
        <w:rPr>
          <w:rFonts w:ascii="Arial" w:hAnsi="Arial" w:cs="Arial"/>
        </w:rPr>
      </w:pPr>
      <w:r>
        <w:rPr>
          <w:rFonts w:cs="Arial" w:ascii="Arial" w:hAnsi="Arial"/>
        </w:rPr>
        <w:tab/>
        <w:t>5.</w:t>
        <w:tab/>
        <w:t>the cumulative compensation earned by each subcontractor; and</w:t>
      </w:r>
    </w:p>
    <w:p>
      <w:pPr>
        <w:pStyle w:val="Normal"/>
        <w:tabs>
          <w:tab w:val="left" w:pos="720" w:leader="none"/>
        </w:tabs>
        <w:ind w:hanging="720" w:start="720" w:end="0"/>
        <w:rPr>
          <w:rFonts w:ascii="Arial" w:hAnsi="Arial" w:cs="Arial"/>
        </w:rPr>
      </w:pPr>
      <w:r>
        <w:rPr>
          <w:rFonts w:cs="Arial" w:ascii="Arial" w:hAnsi="Arial"/>
        </w:rPr>
      </w:r>
    </w:p>
    <w:p>
      <w:pPr>
        <w:pStyle w:val="Normal"/>
        <w:tabs>
          <w:tab w:val="left" w:pos="720" w:leader="none"/>
        </w:tabs>
        <w:ind w:hanging="720" w:start="720" w:end="0"/>
        <w:rPr>
          <w:rFonts w:ascii="Arial" w:hAnsi="Arial" w:cs="Arial"/>
        </w:rPr>
      </w:pPr>
      <w:r>
        <w:rPr>
          <w:rFonts w:cs="Arial" w:ascii="Arial" w:hAnsi="Arial"/>
        </w:rPr>
        <w:tab/>
        <w:t>6.</w:t>
        <w:tab/>
        <w:t>the cumulative compensation paid to each subcontractor.</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7.3</w:t>
        <w:tab/>
        <w:t>Child Support Policy</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Each Supplier who is signatory to this Agreement and any subsupplier(s) must fully comply with all applicable State and Federal employment reporting requirements for the Supplier’s and any subcontractor’s employees.  The Supplier and any subsupplier(s) must fully comply with all lawfully served Wage and Earnings Assignment Orders and Notices of Assignment in accordance with the California Family Code.  The Supplier and any Subcontractor(s) must certify that the principal owner(s) thereof (any person who owns an interest of 10 percent or more) are in compliance with any Wage and Earnings Assignment Orders or Notices of Assignment applicable to them personally.  The Supplier and any Subcontractor(s) must certify that such compliance will be maintained throughout the term of the Contract.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Failure of the Supplier and/or any Subcontractor(s) to fully comply with all applicable reporting requirements or to implement lawfully served Wage and Earnings Assignments or Notices of Assignment or failure of the principal owner(s) to comply with any Wage and Earnings Assignments or Notices of Assignment applicable to them personally shall constitute a default under the Contract.  Failure of the Supplier and/or any Subcontractor(s) or principal owner(s) thereof to cure the default within 90 days of notice of such default by the City shall subject the Contract to termination. </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 xml:space="preserve">7.4 </w:t>
        <w:tab/>
        <w:t>Current Los Angeles City Business Tax Registration Certificate Required</w:t>
      </w:r>
    </w:p>
    <w:p>
      <w:pPr>
        <w:pStyle w:val="Normal"/>
        <w:rPr>
          <w:rFonts w:ascii="Arial" w:hAnsi="Arial" w:cs="Arial"/>
          <w:b/>
        </w:rPr>
      </w:pPr>
      <w:r>
        <w:rPr>
          <w:rFonts w:cs="Arial" w:ascii="Arial" w:hAnsi="Arial"/>
          <w:b/>
        </w:rPr>
      </w:r>
    </w:p>
    <w:p>
      <w:pPr>
        <w:pStyle w:val="Normal"/>
        <w:ind w:end="-90"/>
        <w:rPr>
          <w:rFonts w:ascii="Arial" w:hAnsi="Arial" w:cs="Arial"/>
        </w:rPr>
      </w:pPr>
      <w:r>
        <w:rPr>
          <w:rFonts w:cs="Arial" w:ascii="Arial" w:hAnsi="Arial"/>
        </w:rPr>
        <w:t>Each Supplier who is a signatory to this Agreement shall obtain and keep in full force and effect during the term of the contract all Business Tax Registration Certificates required by the City of Los Angeles Business Tax Ordinance, Article 1, Chapter II, Section 21.00 and following, of the Los Angeles Municipal Code.</w:t>
      </w:r>
    </w:p>
    <w:p>
      <w:pPr>
        <w:pStyle w:val="Normal"/>
        <w:ind w:end="-90"/>
        <w:rPr>
          <w:rFonts w:ascii="Arial" w:hAnsi="Arial" w:cs="Arial"/>
        </w:rPr>
      </w:pPr>
      <w:r>
        <w:rPr>
          <w:rFonts w:cs="Arial" w:ascii="Arial" w:hAnsi="Arial"/>
        </w:rPr>
      </w:r>
    </w:p>
    <w:p>
      <w:pPr>
        <w:pStyle w:val="Normal"/>
        <w:ind w:end="-90"/>
        <w:rPr>
          <w:rFonts w:ascii="Arial" w:hAnsi="Arial" w:cs="Arial"/>
        </w:rPr>
      </w:pPr>
      <w:r>
        <w:rPr>
          <w:rFonts w:cs="Arial" w:ascii="Arial" w:hAnsi="Arial"/>
        </w:rPr>
        <w:t xml:space="preserve">Supplier’s current Business Tax Registration Certificate Number or, for those firms that are exempt, a Vendor Registration Number must be shown on all invoices submitted for payment.  Failure to do so may delay payment. </w:t>
      </w:r>
    </w:p>
    <w:p>
      <w:pPr>
        <w:pStyle w:val="Normal"/>
        <w:ind w:end="-90"/>
        <w:rPr>
          <w:rFonts w:ascii="Arial" w:hAnsi="Arial" w:cs="Arial"/>
        </w:rPr>
      </w:pPr>
      <w:r>
        <w:rPr>
          <w:rFonts w:cs="Arial" w:ascii="Arial" w:hAnsi="Arial"/>
        </w:rPr>
      </w:r>
    </w:p>
    <w:p>
      <w:pPr>
        <w:pStyle w:val="Normal"/>
        <w:ind w:end="-90"/>
        <w:rPr>
          <w:rFonts w:ascii="Arial" w:hAnsi="Arial" w:cs="Arial"/>
        </w:rPr>
      </w:pPr>
      <w:r>
        <w:rPr>
          <w:rFonts w:cs="Arial" w:ascii="Arial" w:hAnsi="Arial"/>
        </w:rPr>
        <w:t>For additional information regarding applicability of the City Business Tax Registration, contact the City Clerk’s Office on (213) 485-3960.</w:t>
      </w:r>
    </w:p>
    <w:p>
      <w:pPr>
        <w:pStyle w:val="Normal"/>
        <w:ind w:end="-90"/>
        <w:rPr>
          <w:rFonts w:ascii="Arial" w:hAnsi="Arial" w:cs="Arial"/>
        </w:rPr>
      </w:pPr>
      <w:r>
        <w:rPr>
          <w:rFonts w:cs="Arial" w:ascii="Arial" w:hAnsi="Arial"/>
        </w:rPr>
      </w:r>
    </w:p>
    <w:p>
      <w:pPr>
        <w:pStyle w:val="Normal"/>
        <w:ind w:end="-90"/>
        <w:rPr>
          <w:rFonts w:ascii="Arial" w:hAnsi="Arial" w:cs="Arial"/>
          <w:b/>
        </w:rPr>
      </w:pPr>
      <w:r>
        <w:rPr>
          <w:rFonts w:cs="Arial" w:ascii="Arial" w:hAnsi="Arial"/>
          <w:b/>
        </w:rPr>
        <w:t>7.5      Recycled-Content Policy</w:t>
      </w:r>
    </w:p>
    <w:p>
      <w:pPr>
        <w:pStyle w:val="Normal"/>
        <w:ind w:end="-90"/>
        <w:rPr>
          <w:rFonts w:ascii="Arial" w:hAnsi="Arial" w:cs="Arial"/>
          <w:b/>
        </w:rPr>
      </w:pPr>
      <w:r>
        <w:rPr>
          <w:rFonts w:cs="Arial" w:ascii="Arial" w:hAnsi="Arial"/>
          <w:b/>
        </w:rPr>
      </w:r>
    </w:p>
    <w:p>
      <w:pPr>
        <w:pStyle w:val="BodyText3"/>
        <w:spacing w:lineRule="auto" w:line="240"/>
        <w:rPr>
          <w:u w:val="none"/>
        </w:rPr>
      </w:pPr>
      <w:r>
        <w:rPr>
          <w:u w:val="none"/>
        </w:rPr>
        <w:t xml:space="preserve">Each Supplier shall submit all written documents, if any, on paper with a minimum of 30 percent post-consumer recycled content.  Existing company/corporate </w:t>
      </w:r>
    </w:p>
    <w:p>
      <w:pPr>
        <w:pStyle w:val="BodyText3"/>
        <w:spacing w:lineRule="auto" w:line="240"/>
        <w:rPr>
          <w:u w:val="none"/>
        </w:rPr>
      </w:pPr>
      <w:r>
        <w:rPr>
          <w:u w:val="none"/>
        </w:rPr>
        <w:t>letterhead/stationery that accompanies these documents is exempt from this requirement.  Documents of two or more pages in length shall be duplex-copied (double-sided pages).  Neon or fluorescent paper shall not be used in any written documents submitted to the Department.</w:t>
      </w:r>
    </w:p>
    <w:p>
      <w:pPr>
        <w:pStyle w:val="BodyText3"/>
        <w:spacing w:lineRule="auto" w:line="240"/>
        <w:rPr>
          <w:u w:val="none"/>
        </w:rPr>
      </w:pPr>
      <w:r>
        <w:rPr>
          <w:u w:val="none"/>
        </w:rPr>
      </w:r>
    </w:p>
    <w:p>
      <w:pPr>
        <w:pStyle w:val="Normal"/>
        <w:rPr>
          <w:rFonts w:ascii="Arial" w:hAnsi="Arial" w:cs="Arial"/>
        </w:rPr>
      </w:pPr>
      <w:r>
        <w:rPr>
          <w:rFonts w:cs="Arial" w:ascii="Arial" w:hAnsi="Arial"/>
          <w:b/>
        </w:rPr>
        <w:t>7.6</w:t>
        <w:tab/>
        <w:t>Service Contract Worker Retention And Living Wage Policy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7.6.1.</w:t>
        <w:tab/>
        <w:t>General Provisions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This Agreement is subject to the Service Contractor Worker Retention Ordinance (SCWRO), Section 10.36 et. seq., and the Living Wage Ordinance (LWO), Section 10.37 et. seq., of the Los Angeles Administrative Code.  The Ordinances require that, unless specific exemptions apply, employers who are awarded service contracts that involve expenditures in excess of $25,000, and have a duration of at least three months; and any persons who receive City of Los Angeles financial assistance of one million dollars or more in any 12-month period, shall comply with the following provisions of the ordinances: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 Retention for a 90-day transition period, the employees who were employed for the preceding 12 months or more by the terminated Supplier or subcontractor, if any, as provided for in the SCWRO;</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(b)  Payment of a minimum initial wage rate to employees as defined in the LWO, of $7.72 per hour, with health benefits; or at least $1.25 per hour, or otherwise $8.97 per hour without benefits.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7.6.2.</w:t>
        <w:tab/>
        <w:t>Termination Provisions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Under the provisions of Section 10.36.3(c) and Section 10.37.5 (c) of the Los Angeles Administrative Code, the Department of Water and Power, shall have the authority, under appropriate circumstances, to terminate this Agreement and otherwise pursue legal remedies that may be available, if the Department of Water and Power determines that the Supplier violated the provisions of the referenced Code Section.  This agreement may be terminated without cause.</w:t>
      </w:r>
    </w:p>
    <w:p>
      <w:pPr>
        <w:pStyle w:val="BodyText3"/>
        <w:spacing w:lineRule="auto" w:line="240"/>
        <w:rPr>
          <w:rFonts w:ascii="Arial" w:hAnsi="Arial" w:cs="Arial"/>
          <w:u w:val="none"/>
        </w:rPr>
      </w:pPr>
      <w:r>
        <w:rPr>
          <w:rFonts w:cs="Arial"/>
          <w:u w:val="none"/>
        </w:rPr>
      </w:r>
    </w:p>
    <w:p>
      <w:pPr>
        <w:pStyle w:val="Normal"/>
        <w:ind w:end="-90"/>
        <w:rPr>
          <w:rFonts w:ascii="Arial" w:hAnsi="Arial" w:cs="Arial"/>
          <w:u w:val="none"/>
        </w:rPr>
      </w:pPr>
      <w:r>
        <w:rPr>
          <w:rFonts w:cs="Arial" w:ascii="Arial" w:hAnsi="Arial"/>
          <w:u w:val="none"/>
        </w:rPr>
      </w:r>
    </w:p>
    <w:p>
      <w:pPr>
        <w:pStyle w:val="Normal"/>
        <w:rPr>
          <w:rFonts w:ascii="Arial" w:hAnsi="Arial" w:cs="Arial"/>
          <w:b/>
        </w:rPr>
      </w:pPr>
      <w:r>
        <w:rPr>
          <w:rFonts w:cs="Arial" w:ascii="Arial" w:hAnsi="Arial"/>
          <w:b/>
        </w:rPr>
        <w:t>8.0</w:t>
        <w:tab/>
      </w:r>
      <w:r>
        <w:rPr>
          <w:rFonts w:cs="Arial" w:ascii="Arial" w:hAnsi="Arial"/>
          <w:b/>
          <w:u w:val="single"/>
        </w:rPr>
        <w:t>INVOICES</w:t>
      </w:r>
    </w:p>
    <w:p>
      <w:pPr>
        <w:pStyle w:val="Normal"/>
        <w:ind w:end="-360"/>
        <w:rPr>
          <w:rFonts w:ascii="Arial" w:hAnsi="Arial" w:cs="Arial"/>
          <w:b/>
        </w:rPr>
      </w:pPr>
      <w:r>
        <w:rPr>
          <w:rFonts w:cs="Arial" w:ascii="Arial" w:hAnsi="Arial"/>
          <w:b/>
        </w:rPr>
        <w:t>8.1      Cost of Materials and Delivery</w:t>
      </w:r>
    </w:p>
    <w:p>
      <w:pPr>
        <w:pStyle w:val="Normal"/>
        <w:ind w:end="-360"/>
        <w:rPr>
          <w:rFonts w:ascii="Arial" w:hAnsi="Arial" w:cs="Arial"/>
          <w:b/>
        </w:rPr>
      </w:pPr>
      <w:r>
        <w:rPr>
          <w:rFonts w:cs="Arial" w:ascii="Arial" w:hAnsi="Arial"/>
          <w:b/>
        </w:rPr>
      </w:r>
    </w:p>
    <w:p>
      <w:pPr>
        <w:pStyle w:val="Normal"/>
        <w:ind w:end="-360"/>
        <w:rPr>
          <w:rFonts w:ascii="Arial" w:hAnsi="Arial" w:cs="Arial"/>
        </w:rPr>
      </w:pPr>
      <w:r>
        <w:rPr>
          <w:rFonts w:cs="Arial" w:ascii="Arial" w:hAnsi="Arial"/>
        </w:rPr>
        <w:t>Upon delivery and acceptance of natural gas sought by the Department as a result of an Electronic Bid, the Supplier selected by the Department to provide such natural gas shall submit to: Natural Gas Supply, Attention: Contract Administrator, Los Angeles Department of Water and Power, City of Los Angeles, PO Box 51111, Room 1148, Los Angeles, CA 90051-0100, in triplicate, verified and itemized invoices stating such gas was delivered.  Such invoices shall conform to the rates established in the bid award and shall be organized and clearly itemized as to delivery point and price.  Such invoices, if correct, will be certified, and paid within 30 days after receipt of natural gas and invoice.  Invoice payments will not be made if the invoice is received more than six months after the billing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Each invoice shall show the contract/purchase order number, the vendor code number, the City of Los Angeles Business Tax Registration Certificate Number, and the identification of material, equipment, and/or services covered by the invoices.  </w:t>
      </w:r>
    </w:p>
    <w:p>
      <w:pPr>
        <w:pStyle w:val="Normal"/>
        <w:ind w:end="-90"/>
        <w:rPr>
          <w:rFonts w:ascii="Arial" w:hAnsi="Arial" w:cs="Arial"/>
        </w:rPr>
      </w:pPr>
      <w:r>
        <w:rPr>
          <w:rFonts w:cs="Arial" w:ascii="Arial" w:hAnsi="Arial"/>
        </w:rPr>
        <w:tab/>
      </w:r>
    </w:p>
    <w:p>
      <w:pPr>
        <w:pStyle w:val="Normal"/>
        <w:rPr>
          <w:rFonts w:ascii="Arial" w:hAnsi="Arial" w:cs="Arial"/>
        </w:rPr>
      </w:pPr>
      <w:r>
        <w:rPr>
          <w:rFonts w:cs="Arial" w:ascii="Arial" w:hAnsi="Arial"/>
          <w:b/>
        </w:rPr>
        <w:t>8.2</w:t>
        <w:tab/>
        <w:t>Taxpayer Identification Number (TIN)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Each Supplier declares that its authorized TIN is on file with the Department.   No payment will be made under this Agreement without a valid TIN number.</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9.0</w:t>
        <w:tab/>
      </w:r>
      <w:r>
        <w:rPr>
          <w:rFonts w:cs="Arial" w:ascii="Arial" w:hAnsi="Arial"/>
          <w:b/>
          <w:u w:val="single"/>
        </w:rPr>
        <w:t>CONFLICTS</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9.1</w:t>
        <w:tab/>
        <w:t>Priority of Documents</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In the event of any conflicting provisions between the documents referenced or included in this Agreement, the priority shall be as follows: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w:t>
        <w:tab/>
        <w:t>Latest Change Order</w:t>
      </w:r>
    </w:p>
    <w:p>
      <w:pPr>
        <w:pStyle w:val="Normal"/>
        <w:rPr>
          <w:rFonts w:ascii="Arial" w:hAnsi="Arial" w:cs="Arial"/>
        </w:rPr>
      </w:pPr>
      <w:r>
        <w:rPr>
          <w:rFonts w:cs="Arial" w:ascii="Arial" w:hAnsi="Arial"/>
        </w:rPr>
        <w:tab/>
        <w:t>(b)</w:t>
        <w:tab/>
        <w:t>Subsequent Written Agreement</w:t>
      </w:r>
    </w:p>
    <w:p>
      <w:pPr>
        <w:pStyle w:val="Normal"/>
        <w:rPr>
          <w:rFonts w:ascii="Arial" w:hAnsi="Arial" w:cs="Arial"/>
        </w:rPr>
      </w:pPr>
      <w:r>
        <w:rPr>
          <w:rFonts w:cs="Arial" w:ascii="Arial" w:hAnsi="Arial"/>
        </w:rPr>
        <w:tab/>
        <w:t>(c)</w:t>
        <w:tab/>
        <w:t>Task Assignment</w:t>
      </w:r>
    </w:p>
    <w:p>
      <w:pPr>
        <w:pStyle w:val="Normal"/>
        <w:rPr>
          <w:rFonts w:ascii="Arial" w:hAnsi="Arial" w:cs="Arial"/>
        </w:rPr>
      </w:pPr>
      <w:r>
        <w:rPr>
          <w:rFonts w:cs="Arial" w:ascii="Arial" w:hAnsi="Arial"/>
        </w:rPr>
        <w:tab/>
        <w:t>(d)</w:t>
        <w:tab/>
        <w:t>Other Referenced Documents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Each party shall notify the other immediately upon the determination of any such conflict or inconsistency.</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10.0</w:t>
        <w:tab/>
      </w:r>
      <w:r>
        <w:rPr>
          <w:rFonts w:cs="Arial" w:ascii="Arial" w:hAnsi="Arial"/>
          <w:b/>
          <w:u w:val="single"/>
        </w:rPr>
        <w:t>MONITORING OF PERFORMANCE</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b/>
        </w:rPr>
        <w:t>10.1</w:t>
        <w:tab/>
        <w:t>Right to Review Services, Facilities, and Records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Department reserves the right to review any portion of the services performed by the Supplier under this Agreement, and the Supplier agrees to cooperate to the fullest extent possible.  Supplier shall furnish to the Department such reports, statistical data, and other information pertaining to the Supplier's services as shall be reasonably required by the Department to carry out its rights and responsibilities under its agreements with its bondholders or note holders and any other agreement relating to the development of the project(s) and in connection with the issuance of its official statements and other prospectuses with respect to the offering, sale, and issuance of its bond and other obligations.</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b/>
        </w:rPr>
        <w:t>10.2</w:t>
        <w:tab/>
        <w:t>Department's Quality Assurance Program</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Any natural gas supplied to the Department under this Agreement will be subject to review by the Department's personnel.</w:t>
      </w:r>
    </w:p>
    <w:p>
      <w:pPr>
        <w:pStyle w:val="Normal"/>
        <w:rPr>
          <w:rFonts w:ascii="Arial" w:hAnsi="Arial" w:cs="Arial"/>
        </w:rPr>
      </w:pPr>
      <w:r>
        <w:rPr>
          <w:rFonts w:cs="Arial" w:ascii="Arial" w:hAnsi="Arial"/>
        </w:rPr>
      </w:r>
    </w:p>
    <w:p>
      <w:pPr>
        <w:pStyle w:val="Normal"/>
        <w:rPr>
          <w:rFonts w:ascii="Arial" w:hAnsi="Arial" w:cs="Arial"/>
        </w:rPr>
      </w:pPr>
      <w:r>
        <w:rPr>
          <w:lang w:val="en-CA"/>
        </w:rPr>
      </w:r>
      <w:r>
        <w:rPr>
          <w:rFonts w:cs="Arial" w:ascii="Arial" w:hAnsi="Arial"/>
          <w:b/>
        </w:rPr>
        <w:t>11.0</w:t>
        <w:tab/>
        <w:t>SEVERABLE PROVISIONS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 provisions of this Agreement are severable, and if one or more provisions should be determined to be judicially unenforceable, in whole or in part, the remaining provisions shall nevertheless be binding and enforceable.  </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12.0.</w:t>
        <w:tab/>
        <w:t xml:space="preserve">INTERPRETATION </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The parties hereto acknowledge and agree that each has been given the opportunity to independently review this Agreement with legal counsel and has the requisite experience and sophistication to understand, and interpret and agree to the particular language of the provisions hereof.  In the event of any asserted ambiguity in, or dispute regarding the interpretation of any matter herein, the interpretation of this Agreement shall not be resolved by any rules of interpretation providing for interpretation against the party who causes the uncertainty to exist or against the party who drafted the Agreement or who drafted that portion of the Agreement.  This Agreement shall otherwise be interpreted and construed in accordance with the laws of the State of California.</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13.0</w:t>
        <w:tab/>
        <w:t xml:space="preserve"> AUTHORIZATION TO ENTER INTO AGREEMENT AND CONSULTANT’S</w:t>
      </w:r>
    </w:p>
    <w:p>
      <w:pPr>
        <w:pStyle w:val="Normal"/>
        <w:rPr>
          <w:rFonts w:ascii="Arial" w:hAnsi="Arial" w:cs="Arial"/>
        </w:rPr>
      </w:pPr>
      <w:r>
        <w:rPr>
          <w:rFonts w:cs="Arial" w:ascii="Arial" w:hAnsi="Arial"/>
          <w:b/>
        </w:rPr>
        <w:t>REPRESENTATION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Each party acknowledges that each party was represented by counsel in the negotiation and the execution of this Agreement.  Each Supplier who is signatory to this Agreement represent and warrant that it is free to enter into this Agreement and to perform each of the terms and covenants of it.  Each Supplier represents and warrants that he is not restricted or prohibited, contractually or otherwise, from entering into and performing this Agreement, and that the execution and performance of this Agreement by Supplier will not constitute a violation or breach of any other Agreement between the Supplier and any other person or entity.</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IN WITNESS WHEREOF, the parties hereto have caused this Agreement to be executed by their authorized representatives on the day and year written below.  Execution may be by counterparts.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6"/>
        <w:tabs>
          <w:tab w:val="clear" w:pos="1368"/>
          <w:tab w:val="clear" w:pos="3708"/>
          <w:tab w:val="clear" w:pos="5238"/>
          <w:tab w:val="left" w:pos="3600" w:leader="none"/>
          <w:tab w:val="center" w:pos="6480" w:leader="none"/>
        </w:tabs>
        <w:ind w:hanging="0" w:start="0"/>
        <w:rPr/>
      </w:pPr>
      <w:r>
        <w:rPr/>
        <w:tab/>
        <w:tab/>
      </w:r>
    </w:p>
    <w:p>
      <w:pPr>
        <w:pStyle w:val="Heading6"/>
        <w:tabs>
          <w:tab w:val="clear" w:pos="1368"/>
          <w:tab w:val="clear" w:pos="3708"/>
          <w:tab w:val="clear" w:pos="5238"/>
          <w:tab w:val="left" w:pos="3600" w:leader="none"/>
          <w:tab w:val="center" w:pos="6480" w:leader="none"/>
        </w:tabs>
        <w:ind w:hanging="0" w:start="0"/>
        <w:rPr/>
      </w:pPr>
      <w:r>
        <w:rPr/>
      </w:r>
    </w:p>
    <w:p>
      <w:pPr>
        <w:pStyle w:val="Heading6"/>
        <w:tabs>
          <w:tab w:val="clear" w:pos="1368"/>
          <w:tab w:val="clear" w:pos="3708"/>
          <w:tab w:val="clear" w:pos="5238"/>
          <w:tab w:val="left" w:pos="3600" w:leader="none"/>
          <w:tab w:val="center" w:pos="6480" w:leader="none"/>
        </w:tabs>
        <w:ind w:hanging="0" w:start="0"/>
        <w:rPr/>
      </w:pPr>
      <w:r>
        <w:rPr/>
        <w:t>Supplier____________</w:t>
        <w:tab/>
        <w:tab/>
        <w:t>DEPARTMENT OF WATER AND POWER</w:t>
      </w:r>
    </w:p>
    <w:p>
      <w:pPr>
        <w:pStyle w:val="Normal"/>
        <w:tabs>
          <w:tab w:val="clear" w:pos="720"/>
          <w:tab w:val="left" w:pos="3600" w:leader="none"/>
          <w:tab w:val="center" w:pos="6480" w:leader="none"/>
        </w:tabs>
        <w:rPr>
          <w:rFonts w:ascii="Arial" w:hAnsi="Arial" w:cs="Arial"/>
        </w:rPr>
      </w:pPr>
      <w:r>
        <w:rPr>
          <w:rFonts w:cs="Arial" w:ascii="Arial" w:hAnsi="Arial"/>
        </w:rPr>
        <w:tab/>
        <w:tab/>
        <w:t>OF THE CITY OF LOS ANGELES</w:t>
      </w:r>
    </w:p>
    <w:p>
      <w:pPr>
        <w:pStyle w:val="Normal"/>
        <w:tabs>
          <w:tab w:val="clear" w:pos="720"/>
          <w:tab w:val="left" w:pos="3600" w:leader="none"/>
          <w:tab w:val="center" w:pos="6480" w:leader="none"/>
        </w:tabs>
        <w:rPr>
          <w:rFonts w:ascii="Arial" w:hAnsi="Arial" w:cs="Arial"/>
        </w:rPr>
      </w:pPr>
      <w:r>
        <w:rPr>
          <w:rFonts w:cs="Arial" w:ascii="Arial" w:hAnsi="Arial"/>
        </w:rPr>
        <w:tab/>
        <w:tab/>
        <w:t>BY</w:t>
      </w:r>
    </w:p>
    <w:p>
      <w:pPr>
        <w:pStyle w:val="Heading6"/>
        <w:tabs>
          <w:tab w:val="clear" w:pos="1368"/>
          <w:tab w:val="clear" w:pos="3708"/>
          <w:tab w:val="clear" w:pos="5238"/>
          <w:tab w:val="left" w:pos="2790" w:leader="none"/>
          <w:tab w:val="center" w:pos="6480" w:leader="none"/>
        </w:tabs>
        <w:ind w:hanging="0" w:start="0"/>
        <w:rPr/>
      </w:pPr>
      <w:r>
        <w:rPr/>
        <w:t>By: _________________</w:t>
        <w:tab/>
        <w:tab/>
        <w:t>BOARD OF WATER AND POWER COMMISSIONERS</w:t>
      </w:r>
    </w:p>
    <w:p>
      <w:pPr>
        <w:pStyle w:val="Normal"/>
        <w:tabs>
          <w:tab w:val="clear" w:pos="720"/>
          <w:tab w:val="left" w:pos="3600" w:leader="none"/>
          <w:tab w:val="center" w:pos="6480" w:leader="none"/>
        </w:tabs>
        <w:rPr>
          <w:rFonts w:ascii="Arial" w:hAnsi="Arial" w:cs="Arial"/>
        </w:rPr>
      </w:pPr>
      <w:r>
        <w:rPr>
          <w:rFonts w:cs="Arial" w:ascii="Arial" w:hAnsi="Arial"/>
        </w:rPr>
        <w:tab/>
        <w:tab/>
        <w:t>OF THE CITY OF LOS ANGELES</w:t>
      </w:r>
    </w:p>
    <w:p>
      <w:pPr>
        <w:pStyle w:val="Normal"/>
        <w:tabs>
          <w:tab w:val="clear" w:pos="720"/>
          <w:tab w:val="left" w:pos="3600" w:leader="none"/>
          <w:tab w:val="center" w:pos="6480" w:leader="none"/>
        </w:tabs>
        <w:rPr>
          <w:rFonts w:ascii="Arial" w:hAnsi="Arial" w:cs="Arial"/>
        </w:rPr>
      </w:pPr>
      <w:r>
        <w:rPr>
          <w:rFonts w:cs="Arial" w:ascii="Arial" w:hAnsi="Arial"/>
        </w:rPr>
      </w:r>
    </w:p>
    <w:p>
      <w:pPr>
        <w:pStyle w:val="Normal"/>
        <w:tabs>
          <w:tab w:val="clear" w:pos="720"/>
          <w:tab w:val="left" w:pos="3600" w:leader="none"/>
          <w:tab w:val="center" w:pos="6480" w:leader="none"/>
        </w:tabs>
        <w:rPr/>
      </w:pPr>
      <w:r>
        <w:rPr>
          <w:rFonts w:cs="Arial" w:ascii="Arial" w:hAnsi="Arial"/>
        </w:rPr>
        <w:tab/>
        <w:t xml:space="preserve">By: </w:t>
      </w:r>
      <w:r>
        <w:rPr>
          <w:rFonts w:cs="Arial" w:ascii="Arial" w:hAnsi="Arial"/>
          <w:u w:val="single"/>
        </w:rPr>
        <w:tab/>
        <w:tab/>
        <w:tab/>
        <w:tab/>
        <w:tab/>
      </w:r>
    </w:p>
    <w:p>
      <w:pPr>
        <w:pStyle w:val="Normal"/>
        <w:tabs>
          <w:tab w:val="clear" w:pos="720"/>
          <w:tab w:val="left" w:pos="3600" w:leader="none"/>
          <w:tab w:val="center" w:pos="6480" w:leader="none"/>
        </w:tabs>
        <w:rPr>
          <w:rFonts w:ascii="Arial" w:hAnsi="Arial" w:cs="Arial"/>
        </w:rPr>
      </w:pPr>
      <w:r>
        <w:rPr>
          <w:rFonts w:cs="Arial" w:ascii="Arial" w:hAnsi="Arial"/>
        </w:rPr>
        <w:tab/>
        <w:tab/>
        <w:t xml:space="preserve">General Manager </w:t>
      </w:r>
    </w:p>
    <w:p>
      <w:pPr>
        <w:pStyle w:val="Normal"/>
        <w:tabs>
          <w:tab w:val="clear" w:pos="720"/>
          <w:tab w:val="left" w:pos="3600" w:leader="none"/>
          <w:tab w:val="center" w:pos="6480" w:leader="none"/>
        </w:tabs>
        <w:rPr>
          <w:rFonts w:ascii="Arial" w:hAnsi="Arial" w:cs="Arial"/>
        </w:rPr>
      </w:pPr>
      <w:r>
        <w:rPr>
          <w:rFonts w:cs="Arial" w:ascii="Arial" w:hAnsi="Arial"/>
        </w:rPr>
      </w:r>
    </w:p>
    <w:p>
      <w:pPr>
        <w:pStyle w:val="Normal"/>
        <w:tabs>
          <w:tab w:val="clear" w:pos="720"/>
          <w:tab w:val="left" w:pos="3600" w:leader="none"/>
          <w:tab w:val="center" w:pos="6480" w:leader="none"/>
        </w:tabs>
        <w:rPr/>
      </w:pPr>
      <w:r>
        <w:rPr>
          <w:rFonts w:cs="Arial" w:ascii="Arial" w:hAnsi="Arial"/>
        </w:rPr>
        <w:tab/>
        <w:t xml:space="preserve">and </w:t>
      </w:r>
      <w:r>
        <w:rPr>
          <w:rFonts w:cs="Arial" w:ascii="Arial" w:hAnsi="Arial"/>
          <w:u w:val="single"/>
        </w:rPr>
        <w:tab/>
        <w:tab/>
        <w:tab/>
        <w:tab/>
        <w:tab/>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3600" w:leader="none"/>
          <w:tab w:val="center" w:pos="6480" w:leader="none"/>
        </w:tabs>
        <w:rPr>
          <w:rFonts w:ascii="Arial" w:hAnsi="Arial" w:cs="Arial"/>
        </w:rPr>
      </w:pPr>
      <w:r>
        <w:rPr>
          <w:rFonts w:cs="Arial" w:ascii="Arial" w:hAnsi="Arial"/>
        </w:rPr>
        <w:tab/>
        <w:tab/>
        <w:t>Secretary</w:t>
      </w:r>
    </w:p>
    <w:p>
      <w:pPr>
        <w:pStyle w:val="Normal"/>
        <w:jc w:val="center"/>
        <w:rPr>
          <w:rFonts w:ascii="Arial" w:hAnsi="Arial" w:cs="Arial"/>
        </w:rPr>
      </w:pPr>
      <w:r>
        <w:rPr>
          <w:rFonts w:cs="Arial" w:ascii="Arial" w:hAnsi="Arial"/>
        </w:rPr>
        <w:t>Exhibit  A</w:t>
      </w:r>
    </w:p>
    <w:p>
      <w:pPr>
        <w:pStyle w:val="Heading9"/>
        <w:ind w:hanging="0" w:start="0"/>
        <w:rPr/>
      </w:pPr>
      <w:r>
        <w:rPr/>
        <w:t xml:space="preserve">Sample Bid Request Form </w:t>
      </w:r>
    </w:p>
    <w:p>
      <w:pPr>
        <w:pStyle w:val="Heading9"/>
        <w:ind w:hanging="0" w:start="0"/>
        <w:rPr>
          <w:sz w:val="24"/>
        </w:rPr>
      </w:pPr>
      <w:r>
        <w:rPr>
          <w:sz w:val="24"/>
        </w:rPr>
        <w:t>Los Angeles Department of Water and Power</w:t>
      </w:r>
    </w:p>
    <w:p>
      <w:pPr>
        <w:pStyle w:val="Heading9"/>
        <w:ind w:hanging="0" w:start="0"/>
        <w:rPr>
          <w:caps/>
          <w:sz w:val="24"/>
        </w:rPr>
      </w:pPr>
      <w:r>
        <w:rPr>
          <w:caps/>
          <w:sz w:val="24"/>
        </w:rPr>
        <w:t>Request for Bids to Supply Natural Gas</w:t>
      </w:r>
    </w:p>
    <w:p>
      <w:pPr>
        <w:pStyle w:val="Normal"/>
        <w:jc w:val="center"/>
        <w:rPr>
          <w:rFonts w:ascii="Arial" w:hAnsi="Arial" w:cs="Arial"/>
          <w:b/>
          <w:caps/>
          <w:sz w:val="36"/>
        </w:rPr>
      </w:pPr>
      <w:r>
        <w:rPr>
          <w:rFonts w:cs="Arial" w:ascii="Arial" w:hAnsi="Arial"/>
          <w:b/>
          <w:caps/>
          <w:sz w:val="36"/>
        </w:rPr>
      </w:r>
    </w:p>
    <w:p>
      <w:pPr>
        <w:pStyle w:val="Normal"/>
        <w:ind w:hanging="630" w:end="0"/>
        <w:rPr/>
      </w:pPr>
      <w:r>
        <w:rPr>
          <w:rFonts w:cs="Arial" w:ascii="Arial" w:hAnsi="Arial"/>
        </w:rPr>
        <w:t xml:space="preserve">Date: </w:t>
      </w:r>
      <w:r>
        <w:rPr>
          <w:rFonts w:cs="Arial" w:ascii="Arial" w:hAnsi="Arial"/>
          <w:u w:val="single"/>
        </w:rPr>
        <w:tab/>
        <w:tab/>
        <w:tab/>
        <w:tab/>
        <w:tab/>
        <w:tab/>
      </w:r>
    </w:p>
    <w:p>
      <w:pPr>
        <w:pStyle w:val="Normal"/>
        <w:ind w:firstLine="720" w:start="720" w:end="0"/>
        <w:jc w:val="end"/>
        <w:rPr>
          <w:rFonts w:ascii="Arial" w:hAnsi="Arial" w:cs="Arial"/>
          <w:u w:val="single"/>
        </w:rPr>
      </w:pPr>
      <w:r>
        <w:rPr>
          <w:rFonts w:cs="Arial" w:ascii="Arial" w:hAnsi="Arial"/>
          <w:u w:val="single"/>
        </w:rPr>
      </w:r>
    </w:p>
    <w:p>
      <w:pPr>
        <w:pStyle w:val="Normal"/>
        <w:jc w:val="both"/>
        <w:rPr/>
      </w:pPr>
      <w:r>
        <w:rPr>
          <w:rFonts w:cs="Arial" w:ascii="Arial" w:hAnsi="Arial"/>
        </w:rPr>
        <w:t xml:space="preserve">To: </w:t>
        <w:tab/>
        <w:t xml:space="preserve">DWP Natural Gas Suppliers </w:t>
        <w:tab/>
        <w:tab/>
        <w:t xml:space="preserve">Response Deadline: </w:t>
      </w:r>
      <w:r>
        <w:rPr>
          <w:rFonts w:cs="Arial" w:ascii="Arial" w:hAnsi="Arial"/>
          <w:u w:val="single"/>
        </w:rPr>
        <w:tab/>
        <w:tab/>
      </w:r>
    </w:p>
    <w:p>
      <w:pPr>
        <w:pStyle w:val="Normal"/>
        <w:rPr>
          <w:rFonts w:ascii="Arial" w:hAnsi="Arial" w:cs="Arial"/>
          <w:u w:val="single"/>
        </w:rPr>
      </w:pPr>
      <w:r>
        <w:rPr>
          <w:rFonts w:cs="Arial" w:ascii="Arial" w:hAnsi="Arial"/>
          <w:u w:val="single"/>
        </w:rPr>
      </w:r>
    </w:p>
    <w:p>
      <w:pPr>
        <w:pStyle w:val="Heading6"/>
        <w:tabs>
          <w:tab w:val="clear" w:pos="1368"/>
          <w:tab w:val="clear" w:pos="3708"/>
          <w:tab w:val="clear" w:pos="5238"/>
        </w:tabs>
        <w:ind w:hanging="0" w:start="0"/>
        <w:rPr/>
      </w:pPr>
      <w:r>
        <w:rPr/>
        <w:t>From:</w:t>
        <w:tab/>
      </w:r>
      <w:r>
        <w:rPr>
          <w:u w:val="single"/>
        </w:rPr>
        <w:tab/>
        <w:tab/>
        <w:tab/>
        <w:tab/>
        <w:tab/>
        <w:tab/>
        <w:tab/>
        <w:tab/>
        <w:tab/>
        <w:tab/>
        <w:tab/>
      </w:r>
    </w:p>
    <w:p>
      <w:pPr>
        <w:pStyle w:val="Normal"/>
        <w:rPr>
          <w:rFonts w:ascii="Arial" w:hAnsi="Arial" w:cs="Arial"/>
        </w:rPr>
      </w:pPr>
      <w:r>
        <w:rPr>
          <w:rFonts w:cs="Arial" w:ascii="Arial" w:hAnsi="Arial"/>
        </w:rPr>
      </w:r>
    </w:p>
    <w:p>
      <w:pPr>
        <w:pStyle w:val="Normal"/>
        <w:rPr/>
      </w:pPr>
      <w:r>
        <w:rPr>
          <w:rFonts w:cs="Arial" w:ascii="Arial" w:hAnsi="Arial"/>
        </w:rPr>
        <w:t xml:space="preserve">Phone: </w:t>
      </w:r>
      <w:r>
        <w:rPr>
          <w:rFonts w:cs="Arial" w:ascii="Arial" w:hAnsi="Arial"/>
          <w:u w:val="single"/>
        </w:rPr>
        <w:tab/>
        <w:tab/>
        <w:tab/>
        <w:tab/>
        <w:tab/>
      </w:r>
      <w:r>
        <w:rPr>
          <w:rFonts w:cs="Arial" w:ascii="Arial" w:hAnsi="Arial"/>
        </w:rPr>
        <w:t>Fax No :</w:t>
      </w:r>
      <w:r>
        <w:rPr>
          <w:rFonts w:cs="Arial" w:ascii="Arial" w:hAnsi="Arial"/>
          <w:u w:val="single"/>
        </w:rPr>
        <w:tab/>
        <w:tab/>
        <w:t>___________</w:t>
        <w:tab/>
      </w:r>
    </w:p>
    <w:p>
      <w:pPr>
        <w:pStyle w:val="Normal"/>
        <w:rPr/>
      </w:pPr>
      <w:r>
        <w:rPr>
          <w:rFonts w:cs="Arial" w:ascii="Arial" w:hAnsi="Arial"/>
        </w:rPr>
        <w:t>E-mail:</w:t>
      </w:r>
      <w:r>
        <w:rPr>
          <w:rFonts w:cs="Arial" w:ascii="Arial" w:hAnsi="Arial"/>
          <w:u w:val="single"/>
        </w:rPr>
        <w:tab/>
        <w:tab/>
        <w:tab/>
        <w:tab/>
        <w:tab/>
        <w:tab/>
      </w:r>
      <w:r>
        <w:rPr>
          <w:rFonts w:cs="Arial" w:ascii="Arial" w:hAnsi="Arial"/>
        </w:rPr>
        <w:t>Delivery Date/Time:</w:t>
      </w:r>
      <w:r>
        <w:rPr>
          <w:rFonts w:cs="Arial" w:ascii="Arial" w:hAnsi="Arial"/>
          <w:u w:val="single"/>
        </w:rPr>
        <w:tab/>
        <w:tab/>
        <w:tab/>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Street Address:</w:t>
      </w:r>
      <w:r>
        <w:rPr>
          <w:rFonts w:cs="Arial" w:ascii="Arial" w:hAnsi="Arial"/>
          <w:u w:val="single"/>
        </w:rPr>
        <w:tab/>
        <w:tab/>
        <w:tab/>
        <w:tab/>
        <w:tab/>
        <w:tab/>
        <w:tab/>
        <w:tab/>
        <w:tab/>
        <w:tab/>
      </w:r>
    </w:p>
    <w:p>
      <w:pPr>
        <w:pStyle w:val="Normal"/>
        <w:rPr>
          <w:rFonts w:ascii="Arial" w:hAnsi="Arial" w:cs="Arial"/>
        </w:rPr>
      </w:pPr>
      <w:r>
        <w:rPr>
          <w:rFonts w:cs="Arial" w:ascii="Arial" w:hAnsi="Arial"/>
        </w:rPr>
      </w:r>
    </w:p>
    <w:p>
      <w:pPr>
        <w:pStyle w:val="Normal"/>
        <w:rPr/>
      </w:pPr>
      <w:r>
        <w:rPr>
          <w:rFonts w:cs="Arial" w:ascii="Arial" w:hAnsi="Arial"/>
        </w:rPr>
        <w:t xml:space="preserve">City, Zip Code: </w:t>
      </w:r>
      <w:r>
        <w:rPr>
          <w:rFonts w:cs="Arial" w:ascii="Arial" w:hAnsi="Arial"/>
          <w:u w:val="single"/>
        </w:rPr>
        <w:tab/>
        <w:tab/>
        <w:tab/>
        <w:tab/>
        <w:tab/>
        <w:tab/>
        <w:tab/>
        <w:tab/>
        <w:tab/>
        <w:tab/>
      </w:r>
    </w:p>
    <w:p>
      <w:pPr>
        <w:pStyle w:val="Normal"/>
        <w:rPr>
          <w:rFonts w:ascii="Arial" w:hAnsi="Arial" w:cs="Arial"/>
          <w:u w:val="single"/>
        </w:rPr>
      </w:pPr>
      <w:r>
        <w:rPr>
          <w:rFonts w:cs="Arial" w:ascii="Arial" w:hAnsi="Arial"/>
          <w:u w:val="single"/>
        </w:rPr>
      </w:r>
    </w:p>
    <w:p>
      <w:pPr>
        <w:pStyle w:val="BodyText"/>
        <w:rPr>
          <w:rFonts w:ascii="Arial" w:hAnsi="Arial" w:cs="Arial"/>
          <w:sz w:val="20"/>
        </w:rPr>
      </w:pPr>
      <w:r>
        <w:rPr>
          <w:rFonts w:cs="Arial" w:ascii="Arial" w:hAnsi="Arial"/>
          <w:sz w:val="20"/>
        </w:rPr>
        <w:t>Please complete this form based on your ability to supply the following items:</w:t>
      </w:r>
    </w:p>
    <w:p>
      <w:pPr>
        <w:pStyle w:val="BodyText"/>
        <w:rPr>
          <w:rFonts w:ascii="Arial" w:hAnsi="Arial" w:cs="Arial"/>
          <w:sz w:val="20"/>
        </w:rPr>
      </w:pPr>
      <w:r>
        <w:rPr>
          <w:rFonts w:cs="Arial" w:ascii="Arial" w:hAnsi="Arial"/>
          <w:sz w:val="20"/>
        </w:rPr>
      </w:r>
    </w:p>
    <w:tbl>
      <w:tblPr>
        <w:tblW w:w="10080" w:type="dxa"/>
        <w:jc w:val="start"/>
        <w:tblInd w:w="108" w:type="dxa"/>
        <w:tblLayout w:type="fixed"/>
        <w:tblCellMar>
          <w:top w:w="0" w:type="dxa"/>
          <w:start w:w="108" w:type="dxa"/>
          <w:bottom w:w="0" w:type="dxa"/>
          <w:end w:w="108" w:type="dxa"/>
        </w:tblCellMar>
      </w:tblPr>
      <w:tblGrid>
        <w:gridCol w:w="2160"/>
        <w:gridCol w:w="1260"/>
        <w:gridCol w:w="1170"/>
        <w:gridCol w:w="1530"/>
        <w:gridCol w:w="1170"/>
        <w:gridCol w:w="1170"/>
        <w:gridCol w:w="1620"/>
      </w:tblGrid>
      <w:tr>
        <w:trPr/>
        <w:tc>
          <w:tcPr>
            <w:tcW w:w="2160" w:type="dxa"/>
            <w:tcBorders>
              <w:top w:val="single" w:sz="4" w:space="0" w:color="000000"/>
              <w:start w:val="single" w:sz="4" w:space="0" w:color="000000"/>
              <w:bottom w:val="single" w:sz="4" w:space="0" w:color="000000"/>
              <w:end w:val="single" w:sz="4" w:space="0" w:color="000000"/>
            </w:tcBorders>
          </w:tcPr>
          <w:p>
            <w:pPr>
              <w:pStyle w:val="Heading2"/>
              <w:ind w:hanging="0" w:start="0"/>
              <w:rPr>
                <w:sz w:val="18"/>
              </w:rPr>
            </w:pPr>
            <w:r>
              <w:rPr>
                <w:sz w:val="18"/>
              </w:rPr>
              <w:t>Month or Period</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18"/>
              </w:rPr>
            </w:pPr>
            <w:r>
              <w:rPr>
                <w:rFonts w:cs="Arial" w:ascii="Arial" w:hAnsi="Arial"/>
                <w:b/>
                <w:sz w:val="18"/>
              </w:rPr>
              <w:t>Delivery @ Opal</w:t>
            </w:r>
          </w:p>
          <w:p>
            <w:pPr>
              <w:pStyle w:val="Normal"/>
              <w:jc w:val="center"/>
              <w:rPr>
                <w:rFonts w:ascii="Arial" w:hAnsi="Arial" w:cs="Arial"/>
                <w:b/>
                <w:sz w:val="18"/>
              </w:rPr>
            </w:pPr>
            <w:r>
              <w:rPr>
                <w:rFonts w:cs="Arial" w:ascii="Arial" w:hAnsi="Arial"/>
                <w:b/>
                <w:sz w:val="18"/>
              </w:rPr>
              <w:t>(MMBtuD)</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18"/>
              </w:rPr>
            </w:pPr>
            <w:r>
              <w:rPr>
                <w:rFonts w:cs="Arial" w:ascii="Arial" w:hAnsi="Arial"/>
                <w:b/>
                <w:sz w:val="18"/>
              </w:rPr>
              <w:t>Price @ Opal</w:t>
            </w:r>
          </w:p>
          <w:p>
            <w:pPr>
              <w:pStyle w:val="Normal"/>
              <w:jc w:val="center"/>
              <w:rPr>
                <w:rFonts w:ascii="Arial" w:hAnsi="Arial" w:cs="Arial"/>
                <w:b/>
                <w:sz w:val="18"/>
              </w:rPr>
            </w:pPr>
            <w:r>
              <w:rPr>
                <w:rFonts w:cs="Arial" w:ascii="Arial" w:hAnsi="Arial"/>
                <w:b/>
                <w:sz w:val="18"/>
              </w:rPr>
              <w:t>(MMBtu/D)</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18"/>
              </w:rPr>
            </w:pPr>
            <w:r>
              <w:rPr>
                <w:rFonts w:cs="Arial" w:ascii="Arial" w:hAnsi="Arial"/>
                <w:b/>
                <w:sz w:val="18"/>
              </w:rPr>
              <w:t>Delivery @ San Juan</w:t>
            </w:r>
          </w:p>
          <w:p>
            <w:pPr>
              <w:pStyle w:val="Normal"/>
              <w:jc w:val="center"/>
              <w:rPr>
                <w:rFonts w:ascii="Arial" w:hAnsi="Arial" w:cs="Arial"/>
                <w:b/>
                <w:sz w:val="18"/>
              </w:rPr>
            </w:pPr>
            <w:r>
              <w:rPr>
                <w:rFonts w:cs="Arial" w:ascii="Arial" w:hAnsi="Arial"/>
                <w:b/>
                <w:sz w:val="18"/>
              </w:rPr>
              <w:t>(MMBtu/D)</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18"/>
              </w:rPr>
            </w:pPr>
            <w:r>
              <w:rPr>
                <w:rFonts w:cs="Arial" w:ascii="Arial" w:hAnsi="Arial"/>
                <w:b/>
                <w:sz w:val="18"/>
              </w:rPr>
              <w:t>Price @San Juan</w:t>
            </w:r>
          </w:p>
          <w:p>
            <w:pPr>
              <w:pStyle w:val="Normal"/>
              <w:jc w:val="center"/>
              <w:rPr>
                <w:rFonts w:ascii="Arial" w:hAnsi="Arial" w:cs="Arial"/>
                <w:b/>
                <w:sz w:val="18"/>
              </w:rPr>
            </w:pPr>
            <w:r>
              <w:rPr>
                <w:rFonts w:cs="Arial" w:ascii="Arial" w:hAnsi="Arial"/>
                <w:b/>
                <w:sz w:val="18"/>
              </w:rPr>
              <w:t>(MMBtu/D)</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18"/>
              </w:rPr>
            </w:pPr>
            <w:r>
              <w:rPr>
                <w:rFonts w:cs="Arial" w:ascii="Arial" w:hAnsi="Arial"/>
                <w:b/>
                <w:sz w:val="18"/>
              </w:rPr>
              <w:t>Delivery @ SoCal Border</w:t>
            </w:r>
          </w:p>
          <w:p>
            <w:pPr>
              <w:pStyle w:val="Normal"/>
              <w:jc w:val="center"/>
              <w:rPr>
                <w:rFonts w:ascii="Arial" w:hAnsi="Arial" w:cs="Arial"/>
                <w:b/>
                <w:sz w:val="18"/>
              </w:rPr>
            </w:pPr>
            <w:r>
              <w:rPr>
                <w:rFonts w:cs="Arial" w:ascii="Arial" w:hAnsi="Arial"/>
                <w:b/>
                <w:sz w:val="18"/>
              </w:rPr>
              <w:t>(MMBtu/D)</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18"/>
              </w:rPr>
            </w:pPr>
            <w:r>
              <w:rPr>
                <w:rFonts w:cs="Arial" w:ascii="Arial" w:hAnsi="Arial"/>
                <w:b/>
                <w:sz w:val="18"/>
              </w:rPr>
              <w:t>Price @ SoCal Border</w:t>
            </w:r>
          </w:p>
          <w:p>
            <w:pPr>
              <w:pStyle w:val="Normal"/>
              <w:jc w:val="center"/>
              <w:rPr>
                <w:rFonts w:ascii="Arial" w:hAnsi="Arial" w:cs="Arial"/>
                <w:b/>
                <w:sz w:val="18"/>
              </w:rPr>
            </w:pPr>
            <w:r>
              <w:rPr>
                <w:rFonts w:cs="Arial" w:ascii="Arial" w:hAnsi="Arial"/>
                <w:b/>
                <w:sz w:val="18"/>
              </w:rPr>
              <w:t>(MMBtu/D)</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18"/>
              </w:rPr>
            </w:pPr>
            <w:r>
              <w:rPr>
                <w:rFonts w:cs="Arial" w:ascii="Arial" w:hAnsi="Arial"/>
                <w:b/>
                <w:sz w:val="18"/>
              </w:rPr>
            </w:r>
          </w:p>
          <w:p>
            <w:pPr>
              <w:pStyle w:val="Normal"/>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Arial" w:hAnsi="Arial" w:cs="Arial"/>
              </w:rPr>
            </w:pPr>
            <w:r>
              <w:rPr>
                <w:rFonts w:cs="Arial" w:ascii="Arial" w:hAnsi="Arial"/>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lang w:val="en-CA" w:eastAsia="en-CA"/>
              </w:rPr>
            </w:pPr>
            <w:r>
              <w:rPr>
                <w:rFonts w:cs="Arial" w:ascii="Arial" w:hAnsi="Arial"/>
                <w:lang w:val="en-CA" w:eastAsia="en-C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white" stroked="t" o:allowincell="f" style="position:absolute;margin-left:153.85pt;margin-top:19.8pt;width:196.55pt;height:71.95pt;mso-wrap-style:none;v-text-anchor:middle;rotation:331;mso-position-horizontal-relative:margin" type="_x0000_t136">
                  <v:path textpathok="t"/>
                  <v:textpath on="t" fitshape="t" string="Sample" style="font-family:&quot;Arial Black&quot;;font-size:12pt" trim="t"/>
                  <v:fill o:detectmouseclick="t" type="solid" color2="black"/>
                  <v:stroke color="black" weight="9360" joinstyle="miter" endcap="flat"/>
                  <w10:wrap type="none"/>
                </v:shape>
              </w:pict>
            </w:r>
          </w:p>
          <w:p>
            <w:pPr>
              <w:pStyle w:val="Normal"/>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bl>
    <w:p>
      <w:pPr>
        <w:pStyle w:val="Normal"/>
        <w:tabs>
          <w:tab w:val="clear" w:pos="720"/>
          <w:tab w:val="left" w:pos="8910" w:leader="none"/>
        </w:tabs>
        <w:rPr/>
      </w:pPr>
      <w:r>
        <w:rPr/>
        <w:t>The above quoted prices are effective for ___________ from the response deadline.</w:t>
      </w:r>
    </w:p>
    <w:tbl>
      <w:tblPr>
        <w:tblW w:w="9990" w:type="dxa"/>
        <w:jc w:val="start"/>
        <w:tblInd w:w="108" w:type="dxa"/>
        <w:tblLayout w:type="fixed"/>
        <w:tblCellMar>
          <w:top w:w="0" w:type="dxa"/>
          <w:start w:w="108" w:type="dxa"/>
          <w:bottom w:w="0" w:type="dxa"/>
          <w:end w:w="108" w:type="dxa"/>
        </w:tblCellMar>
      </w:tblPr>
      <w:tblGrid>
        <w:gridCol w:w="3600"/>
        <w:gridCol w:w="3060"/>
        <w:gridCol w:w="3330"/>
      </w:tblGrid>
      <w:tr>
        <w:trPr/>
        <w:tc>
          <w:tcPr>
            <w:tcW w:w="666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val="en-CA" w:eastAsia="en-CA"/>
              </w:rPr>
            </w:pPr>
            <w:r>
              <w:rPr>
                <w:rFonts w:cs="Arial" w:ascii="Arial" w:hAnsi="Arial"/>
                <w:lang w:val="en-CA" w:eastAsia="en-CA"/>
              </w:rPr>
              <w:t>Company:</w:t>
            </w:r>
          </w:p>
          <w:p>
            <w:pPr>
              <w:pStyle w:val="Normal"/>
              <w:rPr>
                <w:rFonts w:ascii="Arial" w:hAnsi="Arial" w:cs="Arial"/>
                <w:lang w:val="en-CA" w:eastAsia="en-CA"/>
              </w:rPr>
            </w:pPr>
            <w:r>
              <w:rPr>
                <w:rFonts w:cs="Arial" w:ascii="Arial" w:hAnsi="Arial"/>
                <w:lang w:val="en-CA" w:eastAsia="en-CA"/>
              </w:rPr>
            </w:r>
          </w:p>
        </w:tc>
        <w:tc>
          <w:tcPr>
            <w:tcW w:w="3330" w:type="dxa"/>
            <w:tcBorders/>
          </w:tcPr>
          <w:p>
            <w:pPr>
              <w:pStyle w:val="Normal"/>
              <w:snapToGrid w:val="false"/>
              <w:jc w:val="end"/>
              <w:rPr>
                <w:rFonts w:ascii="Arial" w:hAnsi="Arial" w:cs="Arial"/>
                <w:lang w:val="en-CA" w:eastAsia="en-CA"/>
              </w:rPr>
            </w:pPr>
            <w:r>
              <w:rPr>
                <w:rFonts w:cs="Arial" w:ascii="Arial" w:hAnsi="Arial"/>
                <w:lang w:val="en-CA" w:eastAsia="en-CA"/>
              </w:rPr>
            </w:r>
          </w:p>
        </w:tc>
      </w:tr>
      <w:tr>
        <w:trPr/>
        <w:tc>
          <w:tcPr>
            <w:tcW w:w="666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sz w:val="24"/>
                <w:lang w:val="en-CA" w:eastAsia="en-CA"/>
              </w:rPr>
            </w:pPr>
            <w:r>
              <w:rPr>
                <w:rFonts w:cs="Arial" w:ascii="Arial" w:hAnsi="Arial"/>
                <w:sz w:val="24"/>
                <w:lang w:val="en-CA" w:eastAsia="en-CA"/>
              </w:rPr>
              <w:t>Address:</w:t>
            </w:r>
          </w:p>
          <w:p>
            <w:pPr>
              <w:pStyle w:val="Normal"/>
              <w:rPr>
                <w:rFonts w:ascii="Arial" w:hAnsi="Arial" w:cs="Arial"/>
                <w:sz w:val="24"/>
                <w:lang w:val="en-CA" w:eastAsia="en-CA"/>
              </w:rPr>
            </w:pPr>
            <w:r>
              <w:rPr>
                <w:rFonts w:cs="Arial" w:ascii="Arial" w:hAnsi="Arial"/>
                <w:sz w:val="24"/>
                <w:lang w:val="en-CA" w:eastAsia="en-CA"/>
              </w:rPr>
            </w:r>
          </w:p>
        </w:tc>
        <w:tc>
          <w:tcPr>
            <w:tcW w:w="3330" w:type="dxa"/>
            <w:tcBorders/>
          </w:tcPr>
          <w:p>
            <w:pPr>
              <w:pStyle w:val="Normal"/>
              <w:snapToGrid w:val="false"/>
              <w:jc w:val="end"/>
              <w:rPr>
                <w:rFonts w:ascii="Arial" w:hAnsi="Arial" w:cs="Arial"/>
                <w:lang w:val="en-CA" w:eastAsia="en-CA"/>
              </w:rPr>
            </w:pPr>
            <w:r>
              <w:rPr>
                <w:rFonts w:cs="Arial" w:ascii="Arial" w:hAnsi="Arial"/>
                <w:lang w:val="en-CA" w:eastAsia="en-C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sz w:val="24"/>
                <w:lang w:val="en-CA" w:eastAsia="en-CA"/>
              </w:rPr>
            </w:pPr>
            <w:r>
              <w:rPr>
                <w:rFonts w:cs="Arial" w:ascii="Arial" w:hAnsi="Arial"/>
                <w:sz w:val="24"/>
                <w:lang w:val="en-CA" w:eastAsia="en-CA"/>
              </w:rPr>
              <w:t>Contact Person:</w:t>
            </w:r>
          </w:p>
        </w:tc>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val="en-CA" w:eastAsia="en-CA"/>
              </w:rPr>
            </w:pPr>
            <w:r>
              <w:rPr>
                <w:rFonts w:cs="Arial" w:ascii="Arial" w:hAnsi="Arial"/>
                <w:lang w:val="en-CA" w:eastAsia="en-CA"/>
              </w:rPr>
              <w:t>Phone:</w:t>
            </w:r>
          </w:p>
          <w:p>
            <w:pPr>
              <w:pStyle w:val="Normal"/>
              <w:rPr>
                <w:rFonts w:ascii="Arial" w:hAnsi="Arial" w:cs="Arial"/>
                <w:lang w:val="en-CA" w:eastAsia="en-CA"/>
              </w:rPr>
            </w:pPr>
            <w:r>
              <w:rPr>
                <w:rFonts w:cs="Arial" w:ascii="Arial" w:hAnsi="Arial"/>
                <w:lang w:val="en-CA" w:eastAsia="en-CA"/>
              </w:rPr>
            </w:r>
          </w:p>
        </w:tc>
        <w:tc>
          <w:tcPr>
            <w:tcW w:w="3330" w:type="dxa"/>
            <w:tcBorders/>
          </w:tcPr>
          <w:p>
            <w:pPr>
              <w:pStyle w:val="Normal"/>
              <w:rPr>
                <w:rFonts w:ascii="Arial" w:hAnsi="Arial" w:cs="Arial"/>
                <w:lang w:val="en-CA" w:eastAsia="en-CA"/>
              </w:rPr>
            </w:pPr>
            <w:r>
              <w:rPr>
                <w:rFonts w:cs="Arial" w:ascii="Arial" w:hAnsi="Arial"/>
                <w:lang w:val="en-CA" w:eastAsia="en-CA"/>
              </w:rPr>
              <w:t>Fax No.</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val="en-CA" w:eastAsia="en-CA"/>
              </w:rPr>
            </w:pPr>
            <w:r>
              <w:rPr>
                <w:rFonts w:cs="Arial" w:ascii="Arial" w:hAnsi="Arial"/>
                <w:lang w:val="en-CA" w:eastAsia="en-CA"/>
              </w:rPr>
              <w:t>Signature:</w:t>
            </w:r>
          </w:p>
        </w:tc>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val="en-CA" w:eastAsia="en-CA"/>
              </w:rPr>
            </w:pPr>
            <w:r>
              <w:rPr>
                <w:rFonts w:cs="Arial" w:ascii="Arial" w:hAnsi="Arial"/>
                <w:lang w:val="en-CA" w:eastAsia="en-CA"/>
              </w:rPr>
              <w:t xml:space="preserve">E-mail </w:t>
            </w:r>
          </w:p>
        </w:tc>
        <w:tc>
          <w:tcPr>
            <w:tcW w:w="3330" w:type="dxa"/>
            <w:tcBorders/>
          </w:tcPr>
          <w:p>
            <w:pPr>
              <w:pStyle w:val="Normal"/>
              <w:rPr>
                <w:rFonts w:ascii="Arial" w:hAnsi="Arial" w:cs="Arial"/>
                <w:lang w:val="en-CA" w:eastAsia="en-CA"/>
              </w:rPr>
            </w:pPr>
            <w:r>
              <w:rPr>
                <w:rFonts w:cs="Arial" w:ascii="Arial" w:hAnsi="Arial"/>
                <w:lang w:val="en-CA" w:eastAsia="en-CA"/>
              </w:rPr>
              <w:t>Date:</w:t>
            </w:r>
          </w:p>
        </w:tc>
      </w:tr>
    </w:tbl>
    <w:p>
      <w:pPr>
        <w:pStyle w:val="Heading1"/>
        <w:ind w:hanging="0" w:start="0"/>
        <w:rPr/>
      </w:pPr>
      <w:r>
        <w:rPr>
          <w:rFonts w:cs="Arial" w:ascii="Arial" w:hAnsi="Arial"/>
          <w:i/>
          <w:u w:val="none"/>
          <w:lang w:val="en-CA" w:eastAsia="en-CA"/>
        </w:rPr>
        <w:t xml:space="preserve">The above quoted prices are effective for 1 business days </w:t>
      </w:r>
      <w:r>
        <w:rPr>
          <w:rFonts w:cs="Arial" w:ascii="Arial" w:hAnsi="Arial"/>
          <w:i/>
          <w:u w:val="none"/>
        </w:rPr>
        <w:t>from the date of the response deadline.</w:t>
      </w:r>
    </w:p>
    <w:p>
      <w:pPr>
        <w:pStyle w:val="Normal"/>
        <w:rPr>
          <w:rFonts w:ascii="Arial" w:hAnsi="Arial" w:cs="Arial"/>
        </w:rPr>
      </w:pPr>
      <w:r>
        <w:rPr>
          <w:rFonts w:eastAsia="Arial" w:cs="Arial" w:ascii="Arial" w:hAnsi="Arial"/>
          <w:lang w:val="en-CA" w:eastAsia="en-CA"/>
        </w:rPr>
        <w:t xml:space="preserve"> </w:t>
      </w:r>
    </w:p>
    <w:p>
      <w:pPr>
        <w:pStyle w:val="Normal"/>
        <w:jc w:val="end"/>
        <w:rPr>
          <w:rFonts w:ascii="Arial" w:hAnsi="Arial" w:cs="Arial"/>
        </w:rPr>
      </w:pPr>
      <w:r>
        <w:rPr>
          <w:rFonts w:cs="Arial" w:ascii="Arial" w:hAnsi="Arial"/>
        </w:rPr>
      </w:r>
    </w:p>
    <w:p>
      <w:pPr>
        <w:pStyle w:val="Heading"/>
        <w:jc w:val="start"/>
        <w:rPr/>
      </w:pPr>
      <w:r>
        <w:rPr/>
        <w:t>BIDDER’S AND PERFORMANCE BONDS</w:t>
      </w:r>
    </w:p>
    <w:p>
      <w:pPr>
        <w:pStyle w:val="Normal"/>
        <w:rPr/>
      </w:pPr>
      <w:r>
        <w:rPr/>
      </w:r>
    </w:p>
    <w:p>
      <w:pPr>
        <w:pStyle w:val="Normal"/>
        <w:rPr/>
      </w:pPr>
      <w:r>
        <w:rPr/>
      </w:r>
    </w:p>
    <w:p>
      <w:pPr>
        <w:pStyle w:val="Normal"/>
        <w:rPr/>
      </w:pPr>
      <w:r>
        <w:rPr>
          <w:rFonts w:cs="Arial" w:ascii="Arial" w:hAnsi="Arial"/>
          <w:b/>
          <w:i/>
          <w:u w:val="single"/>
        </w:rPr>
        <w:t>Performance Bond</w:t>
      </w:r>
      <w:r>
        <w:rPr>
          <w:rFonts w:cs="Arial" w:ascii="Arial" w:hAnsi="Arial"/>
          <w:i/>
        </w:rPr>
        <w:t>:</w:t>
      </w:r>
    </w:p>
    <w:p>
      <w:pPr>
        <w:pStyle w:val="Normal"/>
        <w:rPr>
          <w:rFonts w:ascii="Arial" w:hAnsi="Arial" w:cs="Arial"/>
          <w:i/>
          <w:i/>
        </w:rPr>
      </w:pPr>
      <w:r>
        <w:rPr>
          <w:rFonts w:cs="Arial" w:ascii="Arial" w:hAnsi="Arial"/>
          <w:i/>
        </w:rPr>
      </w:r>
    </w:p>
    <w:p>
      <w:pPr>
        <w:pStyle w:val="BodyText"/>
        <w:rPr>
          <w:rFonts w:ascii="Arial" w:hAnsi="Arial" w:cs="Arial"/>
          <w:i/>
          <w:i/>
        </w:rPr>
      </w:pPr>
      <w:r>
        <w:rPr>
          <w:rFonts w:cs="Arial" w:ascii="Arial" w:hAnsi="Arial"/>
          <w:i/>
        </w:rPr>
        <w:t>All Performance bonds shall be issued by a surety which has a current Certificate of Authority from the Department of Insurance.  Said Certificate shall be submitted with the performance bond.</w:t>
      </w:r>
    </w:p>
    <w:p>
      <w:pPr>
        <w:pStyle w:val="Normal"/>
        <w:rPr>
          <w:rFonts w:ascii="Arial" w:hAnsi="Arial" w:cs="Arial"/>
          <w:i/>
          <w:i/>
        </w:rPr>
      </w:pPr>
      <w:r>
        <w:rPr>
          <w:rFonts w:cs="Arial" w:ascii="Arial" w:hAnsi="Arial"/>
          <w:i/>
        </w:rPr>
      </w:r>
    </w:p>
    <w:p>
      <w:pPr>
        <w:pStyle w:val="BodyText"/>
        <w:rPr>
          <w:rFonts w:ascii="Arial" w:hAnsi="Arial" w:cs="Arial"/>
          <w:i/>
          <w:i/>
        </w:rPr>
      </w:pPr>
      <w:r>
        <w:rPr>
          <w:rFonts w:cs="Arial" w:ascii="Arial" w:hAnsi="Arial"/>
          <w:i/>
        </w:rPr>
        <w:t>Within seven (7) calendar days after date of award of a contract, the successful bidder(s) shall furnish a performance bond in the amount equal to $40.00 per MMBtu multiplied by the awarded MDQ (in MMBtus/day).</w:t>
      </w:r>
    </w:p>
    <w:p>
      <w:pPr>
        <w:pStyle w:val="BodyText"/>
        <w:rPr>
          <w:rFonts w:ascii="Arial" w:hAnsi="Arial" w:cs="Arial"/>
          <w:i/>
          <w:i/>
        </w:rPr>
      </w:pPr>
      <w:r>
        <w:rPr>
          <w:rFonts w:cs="Arial" w:ascii="Arial" w:hAnsi="Arial"/>
          <w:i/>
        </w:rPr>
      </w:r>
    </w:p>
    <w:p>
      <w:pPr>
        <w:pStyle w:val="BodyText"/>
        <w:rPr>
          <w:rFonts w:ascii="Arial" w:hAnsi="Arial" w:cs="Arial"/>
          <w:i/>
          <w:i/>
          <w:dstrike/>
        </w:rPr>
      </w:pPr>
      <w:r>
        <w:rPr>
          <w:rFonts w:cs="Arial" w:ascii="Arial" w:hAnsi="Arial"/>
          <w:i/>
        </w:rPr>
        <w:t xml:space="preserve">Bidder may in the alternate provide a continuous performance bond. </w:t>
      </w:r>
    </w:p>
    <w:p>
      <w:pPr>
        <w:pStyle w:val="Normal"/>
        <w:rPr>
          <w:rFonts w:ascii="Arial" w:hAnsi="Arial" w:cs="Arial"/>
          <w:i/>
          <w:i/>
          <w:dstrike/>
        </w:rPr>
      </w:pPr>
      <w:r>
        <w:rPr>
          <w:rFonts w:cs="Arial" w:ascii="Arial" w:hAnsi="Arial"/>
          <w:i/>
          <w:dstrike/>
        </w:rPr>
      </w:r>
    </w:p>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rPr/>
    </w:pPr>
    <w:r>
      <w:rPr/>
      <w:tab/>
      <w:t xml:space="preserve">-     - </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Header"/>
                            <w:rPr>
                              <w:rStyle w:val="PageNumber"/>
                              <w:rFonts w:ascii="Arial" w:hAnsi="Arial" w:cs="Arial"/>
                              <w:sz w:val="24"/>
                            </w:rPr>
                          </w:pP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2</w:t>
                          </w:r>
                          <w:r>
                            <w:rPr>
                              <w:rStyle w:val="PageNumber"/>
                              <w:sz w:val="24"/>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Header"/>
                      <w:rPr>
                        <w:rStyle w:val="PageNumber"/>
                        <w:rFonts w:ascii="Arial" w:hAnsi="Arial" w:cs="Arial"/>
                        <w:sz w:val="24"/>
                      </w:rPr>
                    </w:pP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2</w:t>
                    </w:r>
                    <w:r>
                      <w:rPr>
                        <w:rStyle w:val="PageNumber"/>
                        <w:sz w:val="24"/>
                        <w:rFonts w:cs="Arial" w:ascii="Arial" w:hAnsi="Arial"/>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rPr/>
    </w:pPr>
    <w:r>
      <w:rPr/>
      <w:tab/>
      <w:t xml:space="preserve">-     - </w:t>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6954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Header"/>
                            <w:rPr/>
                          </w:pP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15</w:t>
                          </w:r>
                          <w:r>
                            <w:rPr>
                              <w:rStyle w:val="PageNumber"/>
                              <w:sz w:val="24"/>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227.35pt;mso-position-horizontal:center;mso-position-horizontal-relative:margin">
              <v:fill opacity="0f"/>
              <v:textbox inset="0in,0in,0in,0in">
                <w:txbxContent>
                  <w:p>
                    <w:pPr>
                      <w:pStyle w:val="Header"/>
                      <w:rPr/>
                    </w:pP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15</w:t>
                    </w:r>
                    <w:r>
                      <w:rPr>
                        <w:rStyle w:val="PageNumber"/>
                        <w:sz w:val="24"/>
                        <w:rFonts w:cs="Arial" w:ascii="Arial" w:hAnsi="Arial"/>
                      </w:rPr>
                      <w:fldChar w:fldCharType="end"/>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jc w:val="center"/>
      <w:rPr/>
    </w:pPr>
    <w:r>
      <w:rPr>
        <w:rStyle w:val="PageNumber"/>
        <w:rFonts w:cs="Arial" w:ascii="Arial" w:hAnsi="Arial"/>
        <w:sz w:val="24"/>
      </w:rPr>
      <w:t xml:space="preserve">- </w:t>
    </w: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17</w:t>
    </w:r>
    <w:r>
      <w:rPr>
        <w:rStyle w:val="PageNumber"/>
        <w:sz w:val="24"/>
        <w:rFonts w:cs="Arial" w:ascii="Arial" w:hAnsi="Arial"/>
      </w:rPr>
      <w:fldChar w:fldCharType="end"/>
    </w:r>
    <w:r>
      <w:rPr>
        <w:rStyle w:val="PageNumber"/>
        <w:rFonts w:cs="Arial" w:ascii="Arial" w:hAnsi="Arial"/>
        <w:sz w:val="24"/>
      </w:rPr>
      <w:t xml:space="preserve"> -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0"/>
      <w:lvlJc w:val="start"/>
      <w:pPr>
        <w:tabs>
          <w:tab w:val="num" w:pos="720"/>
        </w:tabs>
        <w:ind w:start="720" w:hanging="720"/>
      </w:pPr>
      <w:rPr>
        <w:u w:val="none"/>
      </w:rPr>
    </w:lvl>
    <w:lvl w:ilvl="1">
      <w:start w:val="1"/>
      <w:numFmt w:val="decimal"/>
      <w:lvlText w:val="%1.%2"/>
      <w:lvlJc w:val="start"/>
      <w:pPr>
        <w:tabs>
          <w:tab w:val="num" w:pos="1440"/>
        </w:tabs>
        <w:ind w:start="1440" w:hanging="720"/>
      </w:pPr>
      <w:rPr>
        <w:u w:val="none"/>
      </w:rPr>
    </w:lvl>
    <w:lvl w:ilvl="2">
      <w:start w:val="1"/>
      <w:numFmt w:val="decimal"/>
      <w:lvlText w:val="%1.%2.%3"/>
      <w:lvlJc w:val="start"/>
      <w:pPr>
        <w:tabs>
          <w:tab w:val="num" w:pos="2160"/>
        </w:tabs>
        <w:ind w:start="2160" w:hanging="720"/>
      </w:pPr>
      <w:rPr>
        <w:u w:val="none"/>
      </w:rPr>
    </w:lvl>
    <w:lvl w:ilvl="3">
      <w:start w:val="1"/>
      <w:numFmt w:val="decimal"/>
      <w:lvlText w:val="%1.%2.%3.%4"/>
      <w:lvlJc w:val="start"/>
      <w:pPr>
        <w:tabs>
          <w:tab w:val="num" w:pos="3240"/>
        </w:tabs>
        <w:ind w:start="3240" w:hanging="1080"/>
      </w:pPr>
      <w:rPr>
        <w:u w:val="none"/>
      </w:rPr>
    </w:lvl>
    <w:lvl w:ilvl="4">
      <w:start w:val="1"/>
      <w:numFmt w:val="decimal"/>
      <w:lvlText w:val="%1.%2.%3.%4.%5"/>
      <w:lvlJc w:val="start"/>
      <w:pPr>
        <w:tabs>
          <w:tab w:val="num" w:pos="3960"/>
        </w:tabs>
        <w:ind w:start="3960" w:hanging="1080"/>
      </w:pPr>
      <w:rPr>
        <w:u w:val="none"/>
      </w:rPr>
    </w:lvl>
    <w:lvl w:ilvl="5">
      <w:start w:val="1"/>
      <w:numFmt w:val="decimal"/>
      <w:lvlText w:val="%1.%2.%3.%4.%5.%6"/>
      <w:lvlJc w:val="start"/>
      <w:pPr>
        <w:tabs>
          <w:tab w:val="num" w:pos="5040"/>
        </w:tabs>
        <w:ind w:start="5040" w:hanging="1440"/>
      </w:pPr>
      <w:rPr>
        <w:u w:val="none"/>
      </w:rPr>
    </w:lvl>
    <w:lvl w:ilvl="6">
      <w:start w:val="1"/>
      <w:numFmt w:val="decimal"/>
      <w:lvlText w:val="%1.%2.%3.%4.%5.%6.%7"/>
      <w:lvlJc w:val="start"/>
      <w:pPr>
        <w:tabs>
          <w:tab w:val="num" w:pos="5760"/>
        </w:tabs>
        <w:ind w:start="5760" w:hanging="1440"/>
      </w:pPr>
      <w:rPr>
        <w:u w:val="none"/>
      </w:rPr>
    </w:lvl>
    <w:lvl w:ilvl="7">
      <w:start w:val="1"/>
      <w:numFmt w:val="decimal"/>
      <w:lvlText w:val="%1.%2.%3.%4.%5.%6.%7.%8"/>
      <w:lvlJc w:val="start"/>
      <w:pPr>
        <w:tabs>
          <w:tab w:val="num" w:pos="6840"/>
        </w:tabs>
        <w:ind w:start="6840" w:hanging="1800"/>
      </w:pPr>
      <w:rPr>
        <w:u w:val="none"/>
      </w:rPr>
    </w:lvl>
    <w:lvl w:ilvl="8">
      <w:start w:val="1"/>
      <w:numFmt w:val="decimal"/>
      <w:lvlText w:val="%1.%2.%3.%4.%5.%6.%7.%8.%9"/>
      <w:lvlJc w:val="start"/>
      <w:pPr>
        <w:tabs>
          <w:tab w:val="num" w:pos="7560"/>
        </w:tabs>
        <w:ind w:start="7560" w:hanging="1800"/>
      </w:pPr>
      <w:rPr>
        <w:u w:val="none"/>
      </w:rPr>
    </w:lvl>
  </w:abstractNum>
  <w:abstractNum w:abstractNumId="3">
    <w:lvl w:ilvl="0">
      <w:start w:val="3"/>
      <w:numFmt w:val="decimal"/>
      <w:lvlText w:val="%1"/>
      <w:lvlJc w:val="start"/>
      <w:pPr>
        <w:tabs>
          <w:tab w:val="num" w:pos="720"/>
        </w:tabs>
        <w:ind w:start="720" w:hanging="720"/>
      </w:pPr>
      <w:rPr>
        <w:b/>
      </w:rPr>
    </w:lvl>
    <w:lvl w:ilvl="1">
      <w:start w:val="4"/>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1080"/>
        </w:tabs>
        <w:ind w:start="1080" w:hanging="108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440"/>
        </w:tabs>
        <w:ind w:start="1440" w:hanging="144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800"/>
        </w:tabs>
        <w:ind w:start="1800" w:hanging="1800"/>
      </w:pPr>
      <w:rPr>
        <w:b/>
      </w:rPr>
    </w:lvl>
    <w:lvl w:ilvl="8">
      <w:start w:val="1"/>
      <w:numFmt w:val="decimal"/>
      <w:lvlText w:val="%1.%2.%3.%4.%5.%6.%7.%8.%9"/>
      <w:lvlJc w:val="start"/>
      <w:pPr>
        <w:tabs>
          <w:tab w:val="num" w:pos="1800"/>
        </w:tabs>
        <w:ind w:start="1800" w:hanging="1800"/>
      </w:pPr>
      <w:rPr>
        <w:b/>
      </w:rPr>
    </w:lvl>
  </w:abstractNum>
  <w:abstractNum w:abstractNumId="4">
    <w:lvl w:ilvl="0">
      <w:start w:val="1"/>
      <w:numFmt w:val="decimal"/>
      <w:lvlText w:val="%1)"/>
      <w:lvlJc w:val="start"/>
      <w:pPr>
        <w:tabs>
          <w:tab w:val="num" w:pos="1080"/>
        </w:tabs>
        <w:ind w:start="1080" w:hanging="360"/>
      </w:pPr>
      <w:rPr/>
    </w:lvl>
  </w:abstractNum>
  <w:abstractNum w:abstractNumId="5">
    <w:lvl w:ilvl="0">
      <w:start w:val="2"/>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1080"/>
        </w:tabs>
        <w:ind w:start="1080" w:hanging="108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440"/>
        </w:tabs>
        <w:ind w:start="1440" w:hanging="144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800"/>
        </w:tabs>
        <w:ind w:start="1800" w:hanging="1800"/>
      </w:pPr>
      <w:rPr>
        <w:b/>
      </w:rPr>
    </w:lvl>
    <w:lvl w:ilvl="8">
      <w:start w:val="1"/>
      <w:numFmt w:val="decimal"/>
      <w:lvlText w:val="%1.%2.%3.%4.%5.%6.%7.%8.%9"/>
      <w:lvlJc w:val="start"/>
      <w:pPr>
        <w:tabs>
          <w:tab w:val="num" w:pos="1800"/>
        </w:tabs>
        <w:ind w:start="1800" w:hanging="1800"/>
      </w:pPr>
      <w:rPr>
        <w:b/>
      </w:rPr>
    </w:lvl>
  </w:abstractNum>
  <w:abstractNum w:abstractNumId="6">
    <w:lvl w:ilvl="0">
      <w:start w:val="1"/>
      <w:numFmt w:val="decimal"/>
      <w:lvlText w:val="%1.0"/>
      <w:lvlJc w:val="start"/>
      <w:pPr>
        <w:tabs>
          <w:tab w:val="num" w:pos="1440"/>
        </w:tabs>
        <w:ind w:start="1440" w:hanging="1440"/>
      </w:pPr>
      <w:rPr>
        <w:u w:val="none"/>
      </w:rPr>
    </w:lvl>
    <w:lvl w:ilvl="1">
      <w:start w:val="1"/>
      <w:numFmt w:val="decimal"/>
      <w:lvlText w:val="%1.%2"/>
      <w:lvlJc w:val="start"/>
      <w:pPr>
        <w:tabs>
          <w:tab w:val="num" w:pos="2160"/>
        </w:tabs>
        <w:ind w:start="2160" w:hanging="1440"/>
      </w:pPr>
      <w:rPr>
        <w:u w:val="none"/>
      </w:rPr>
    </w:lvl>
    <w:lvl w:ilvl="2">
      <w:start w:val="1"/>
      <w:numFmt w:val="decimal"/>
      <w:lvlText w:val="%1.%2.%3"/>
      <w:lvlJc w:val="start"/>
      <w:pPr>
        <w:tabs>
          <w:tab w:val="num" w:pos="2880"/>
        </w:tabs>
        <w:ind w:start="2880" w:hanging="1440"/>
      </w:pPr>
      <w:rPr>
        <w:u w:val="none"/>
      </w:rPr>
    </w:lvl>
    <w:lvl w:ilvl="3">
      <w:start w:val="1"/>
      <w:numFmt w:val="decimal"/>
      <w:lvlText w:val="%1.%2.%3.%4"/>
      <w:lvlJc w:val="start"/>
      <w:pPr>
        <w:tabs>
          <w:tab w:val="num" w:pos="3600"/>
        </w:tabs>
        <w:ind w:start="3600" w:hanging="1440"/>
      </w:pPr>
      <w:rPr>
        <w:u w:val="none"/>
      </w:rPr>
    </w:lvl>
    <w:lvl w:ilvl="4">
      <w:start w:val="1"/>
      <w:numFmt w:val="decimal"/>
      <w:lvlText w:val="%1.%2.%3.%4.%5"/>
      <w:lvlJc w:val="start"/>
      <w:pPr>
        <w:tabs>
          <w:tab w:val="num" w:pos="4320"/>
        </w:tabs>
        <w:ind w:start="4320" w:hanging="1440"/>
      </w:pPr>
      <w:rPr>
        <w:u w:val="none"/>
      </w:rPr>
    </w:lvl>
    <w:lvl w:ilvl="5">
      <w:start w:val="1"/>
      <w:numFmt w:val="decimal"/>
      <w:lvlText w:val="%1.%2.%3.%4.%5.%6"/>
      <w:lvlJc w:val="start"/>
      <w:pPr>
        <w:tabs>
          <w:tab w:val="num" w:pos="5040"/>
        </w:tabs>
        <w:ind w:start="5040" w:hanging="1440"/>
      </w:pPr>
      <w:rPr>
        <w:u w:val="none"/>
      </w:rPr>
    </w:lvl>
    <w:lvl w:ilvl="6">
      <w:start w:val="1"/>
      <w:numFmt w:val="decimal"/>
      <w:lvlText w:val="%1.%2.%3.%4.%5.%6.%7"/>
      <w:lvlJc w:val="start"/>
      <w:pPr>
        <w:tabs>
          <w:tab w:val="num" w:pos="5760"/>
        </w:tabs>
        <w:ind w:start="5760" w:hanging="1440"/>
      </w:pPr>
      <w:rPr>
        <w:u w:val="none"/>
      </w:rPr>
    </w:lvl>
    <w:lvl w:ilvl="7">
      <w:start w:val="1"/>
      <w:numFmt w:val="decimal"/>
      <w:lvlText w:val="%1.%2.%3.%4.%5.%6.%7.%8"/>
      <w:lvlJc w:val="start"/>
      <w:pPr>
        <w:tabs>
          <w:tab w:val="num" w:pos="6480"/>
        </w:tabs>
        <w:ind w:start="6480" w:hanging="1440"/>
      </w:pPr>
      <w:rPr>
        <w:u w:val="none"/>
      </w:rPr>
    </w:lvl>
    <w:lvl w:ilvl="8">
      <w:start w:val="1"/>
      <w:numFmt w:val="decimal"/>
      <w:lvlText w:val="%1.%2.%3.%4.%5.%6.%7.%8.%9"/>
      <w:lvlJc w:val="start"/>
      <w:pPr>
        <w:tabs>
          <w:tab w:val="num" w:pos="7200"/>
        </w:tabs>
        <w:ind w:start="7200" w:hanging="1440"/>
      </w:pPr>
      <w:rPr>
        <w:u w:val="none"/>
      </w:rPr>
    </w:lvl>
  </w:abstractNum>
  <w:abstractNum w:abstractNumId="7">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b/>
    </w:rPr>
  </w:style>
  <w:style w:type="paragraph" w:styleId="Heading3">
    <w:name w:val="heading 3"/>
    <w:basedOn w:val="Normal"/>
    <w:next w:val="Normal"/>
    <w:qFormat/>
    <w:pPr>
      <w:keepNext w:val="true"/>
      <w:numPr>
        <w:ilvl w:val="2"/>
        <w:numId w:val="1"/>
      </w:numPr>
      <w:ind w:hanging="0" w:start="72" w:end="0"/>
      <w:outlineLvl w:val="2"/>
    </w:pPr>
    <w:rPr>
      <w:rFonts w:ascii="Arial" w:hAnsi="Arial" w:cs="Arial"/>
      <w:b/>
      <w:sz w:val="20"/>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78"/>
    </w:rPr>
  </w:style>
  <w:style w:type="paragraph" w:styleId="Heading5">
    <w:name w:val="heading 5"/>
    <w:basedOn w:val="Normal"/>
    <w:next w:val="Normal"/>
    <w:qFormat/>
    <w:pPr>
      <w:keepNext w:val="true"/>
      <w:numPr>
        <w:ilvl w:val="4"/>
        <w:numId w:val="1"/>
      </w:numPr>
      <w:spacing w:lineRule="auto" w:line="360"/>
      <w:jc w:val="center"/>
      <w:outlineLvl w:val="4"/>
    </w:pPr>
    <w:rPr>
      <w:rFonts w:ascii="Arial" w:hAnsi="Arial" w:cs="Arial"/>
      <w:sz w:val="36"/>
    </w:rPr>
  </w:style>
  <w:style w:type="paragraph" w:styleId="Heading6">
    <w:name w:val="heading 6"/>
    <w:basedOn w:val="Normal"/>
    <w:next w:val="Normal"/>
    <w:qFormat/>
    <w:pPr>
      <w:keepNext w:val="true"/>
      <w:numPr>
        <w:ilvl w:val="5"/>
        <w:numId w:val="1"/>
      </w:numPr>
      <w:tabs>
        <w:tab w:val="clear" w:pos="720"/>
        <w:tab w:val="left" w:pos="1368" w:leader="none"/>
        <w:tab w:val="left" w:pos="3708" w:leader="none"/>
        <w:tab w:val="left" w:pos="5238" w:leader="none"/>
      </w:tabs>
      <w:outlineLvl w:val="5"/>
    </w:pPr>
    <w:rPr>
      <w:rFonts w:ascii="Arial" w:hAnsi="Arial" w:cs="Arial"/>
    </w:rPr>
  </w:style>
  <w:style w:type="paragraph" w:styleId="Heading7">
    <w:name w:val="heading 7"/>
    <w:basedOn w:val="Normal"/>
    <w:next w:val="Normal"/>
    <w:qFormat/>
    <w:pPr>
      <w:keepNext w:val="true"/>
      <w:numPr>
        <w:ilvl w:val="6"/>
        <w:numId w:val="1"/>
      </w:numPr>
      <w:jc w:val="center"/>
      <w:outlineLvl w:val="6"/>
    </w:pPr>
    <w:rPr>
      <w:rFonts w:ascii="Arial" w:hAnsi="Arial" w:cs="Arial"/>
      <w:sz w:val="32"/>
    </w:rPr>
  </w:style>
  <w:style w:type="paragraph" w:styleId="Heading8">
    <w:name w:val="heading 8"/>
    <w:basedOn w:val="Normal"/>
    <w:next w:val="Normal"/>
    <w:qFormat/>
    <w:pPr>
      <w:keepNext w:val="true"/>
      <w:numPr>
        <w:ilvl w:val="7"/>
        <w:numId w:val="1"/>
      </w:numPr>
      <w:spacing w:before="0" w:after="120"/>
      <w:outlineLvl w:val="7"/>
    </w:pPr>
    <w:rPr>
      <w:rFonts w:ascii="Arial" w:hAnsi="Arial" w:cs="Arial"/>
      <w:b/>
      <w:sz w:val="20"/>
    </w:rPr>
  </w:style>
  <w:style w:type="paragraph" w:styleId="Heading9">
    <w:name w:val="heading 9"/>
    <w:basedOn w:val="Normal"/>
    <w:next w:val="Normal"/>
    <w:qFormat/>
    <w:pPr>
      <w:keepNext w:val="true"/>
      <w:numPr>
        <w:ilvl w:val="8"/>
        <w:numId w:val="1"/>
      </w:numPr>
      <w:jc w:val="center"/>
      <w:outlineLvl w:val="8"/>
    </w:pPr>
    <w:rPr>
      <w:rFonts w:ascii="Arial" w:hAnsi="Arial" w:cs="Arial"/>
      <w:b/>
      <w:sz w:val="28"/>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u w:val="none"/>
    </w:rPr>
  </w:style>
  <w:style w:type="character" w:styleId="WW8Num14z0">
    <w:name w:val="WW8Num14z0"/>
    <w:qFormat/>
    <w:rPr>
      <w:rFonts w:ascii="Symbol" w:hAnsi="Symbol" w:cs="Symbol"/>
    </w:rPr>
  </w:style>
  <w:style w:type="character" w:styleId="WW8Num15z0">
    <w:name w:val="WW8Num15z0"/>
    <w:qFormat/>
    <w:rPr>
      <w:b/>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b/>
    </w:rPr>
  </w:style>
  <w:style w:type="character" w:styleId="WW8Num54z0">
    <w:name w:val="WW8Num54z0"/>
    <w:qFormat/>
    <w:rPr>
      <w:rFonts w:ascii="Symbol" w:hAnsi="Symbol" w:cs="Symbol"/>
    </w:rPr>
  </w:style>
  <w:style w:type="character" w:styleId="WW8Num55z0">
    <w:name w:val="WW8Num55z0"/>
    <w:qFormat/>
    <w:rPr>
      <w:u w:val="none"/>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rFonts w:ascii="Symbol" w:hAnsi="Symbol" w:cs="Symbol"/>
    </w:rPr>
  </w:style>
  <w:style w:type="character" w:styleId="WW8Num83z0">
    <w:name w:val="WW8Num83z0"/>
    <w:qFormat/>
    <w:rPr>
      <w:b/>
    </w:rPr>
  </w:style>
  <w:style w:type="character" w:styleId="WW8NumSt64z0">
    <w:name w:val="WW8NumSt64z0"/>
    <w:qFormat/>
    <w:rPr>
      <w:rFonts w:ascii="Symbol" w:hAnsi="Symbol" w:cs="Symbol"/>
    </w:rPr>
  </w:style>
  <w:style w:type="character" w:styleId="WW8NumSt117z0">
    <w:name w:val="WW8NumSt117z0"/>
    <w:qFormat/>
    <w:rPr>
      <w:rFonts w:ascii="Symbol" w:hAnsi="Symbol" w:cs="Symbol"/>
    </w:rPr>
  </w:style>
  <w:style w:type="character" w:styleId="WW8NumSt146z0">
    <w:name w:val="WW8NumSt146z0"/>
    <w:qFormat/>
    <w:rPr>
      <w:rFonts w:ascii="Symbol" w:hAnsi="Symbol" w:cs="Symbol"/>
    </w:rPr>
  </w:style>
  <w:style w:type="character" w:styleId="WW8NumSt173z0">
    <w:name w:val="WW8NumSt17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u w:val="single"/>
    </w:rPr>
  </w:style>
  <w:style w:type="paragraph" w:styleId="BodyText">
    <w:name w:val="Body Text"/>
    <w:basedOn w:val="Normal"/>
    <w:pPr/>
    <w:rPr>
      <w:rFonts w:ascii="Times" w:hAnsi="Times" w:cs="Time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
    <w:name w:val="block"/>
    <w:basedOn w:val="Normal"/>
    <w:qFormat/>
    <w:pPr>
      <w:ind w:firstLine="900" w:start="0" w:end="2104"/>
    </w:pPr>
    <w:rPr>
      <w:rFonts w:ascii="Courier New" w:hAnsi="Courier New" w:cs="Courier New"/>
    </w:rPr>
  </w:style>
  <w:style w:type="paragraph" w:styleId="indent1a">
    <w:name w:val="indent1a"/>
    <w:basedOn w:val="block"/>
    <w:qFormat/>
    <w:pPr>
      <w:tabs>
        <w:tab w:val="clear" w:pos="720"/>
        <w:tab w:val="left" w:pos="9360" w:leader="none"/>
      </w:tabs>
      <w:ind w:hanging="540" w:start="1440" w:end="0"/>
    </w:pPr>
    <w:rPr>
      <w:rFonts w:ascii="Times New Roman" w:hAnsi="Times New Roman" w:cs="Times New Roman"/>
    </w:rPr>
  </w:style>
  <w:style w:type="paragraph" w:styleId="BodyTextIndent3">
    <w:name w:val="Body Text Indent 3"/>
    <w:basedOn w:val="Normal"/>
    <w:qFormat/>
    <w:pPr>
      <w:ind w:hanging="0" w:start="2160" w:end="0"/>
    </w:pPr>
    <w:rPr>
      <w:rFonts w:ascii="Arial" w:hAnsi="Arial" w:cs="Arial"/>
    </w:rPr>
  </w:style>
  <w:style w:type="paragraph" w:styleId="BodyText2">
    <w:name w:val="Body Text 2"/>
    <w:basedOn w:val="Normal"/>
    <w:qFormat/>
    <w:pPr>
      <w:ind w:hanging="0" w:start="0" w:end="-180"/>
    </w:pPr>
    <w:rPr>
      <w:rFonts w:ascii="Times" w:hAnsi="Times" w:cs="Times"/>
    </w:rPr>
  </w:style>
  <w:style w:type="paragraph" w:styleId="indent1">
    <w:name w:val="indent1"/>
    <w:basedOn w:val="block"/>
    <w:qFormat/>
    <w:pPr>
      <w:ind w:hanging="630" w:start="2070" w:end="1440"/>
    </w:pPr>
    <w:rPr/>
  </w:style>
  <w:style w:type="paragraph" w:styleId="BodyTextIndent">
    <w:name w:val="Body Text Indent"/>
    <w:basedOn w:val="Normal"/>
    <w:pPr>
      <w:ind w:hanging="720" w:start="2160" w:end="0"/>
      <w:jc w:val="both"/>
    </w:pPr>
    <w:rPr>
      <w:spacing w:val="-2"/>
    </w:rPr>
  </w:style>
  <w:style w:type="paragraph" w:styleId="BodyTextIndent2">
    <w:name w:val="Body Text Indent 2"/>
    <w:basedOn w:val="Normal"/>
    <w:qFormat/>
    <w:pPr>
      <w:ind w:firstLine="720" w:start="0" w:end="0"/>
    </w:pPr>
    <w:rPr>
      <w:rFonts w:ascii="Times" w:hAnsi="Times" w:cs="Time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w:hAnsi="Times" w:cs="Times"/>
      <w:sz w:val="20"/>
    </w:rPr>
  </w:style>
  <w:style w:type="paragraph" w:styleId="Footer">
    <w:name w:val="footer"/>
    <w:basedOn w:val="Normal"/>
    <w:pPr>
      <w:tabs>
        <w:tab w:val="clear" w:pos="720"/>
        <w:tab w:val="center" w:pos="4320" w:leader="none"/>
        <w:tab w:val="right" w:pos="8640" w:leader="none"/>
      </w:tabs>
    </w:pPr>
    <w:rPr>
      <w:rFonts w:ascii="Times" w:hAnsi="Times" w:cs="Times"/>
      <w:sz w:val="20"/>
    </w:rPr>
  </w:style>
  <w:style w:type="paragraph" w:styleId="BodyText3">
    <w:name w:val="Body Text 3"/>
    <w:basedOn w:val="Normal"/>
    <w:qFormat/>
    <w:pPr>
      <w:spacing w:lineRule="auto" w:line="360"/>
    </w:pPr>
    <w:rPr>
      <w:rFonts w:ascii="Arial" w:hAnsi="Arial" w:cs="Arial"/>
      <w:u w:val="single"/>
    </w:rPr>
  </w:style>
  <w:style w:type="paragraph" w:styleId="Subtitle">
    <w:name w:val="Subtitle"/>
    <w:basedOn w:val="Normal"/>
    <w:next w:val="BodyText"/>
    <w:qFormat/>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2001-10-25T15:46:00Z</dcterms:created>
  <dc:creator>rjackson</dc:creator>
  <dc:description/>
  <dc:language>en-CA</dc:language>
  <cp:lastModifiedBy>kward</cp:lastModifiedBy>
  <cp:lastPrinted>2001-10-03T13:17:00Z</cp:lastPrinted>
  <dcterms:modified xsi:type="dcterms:W3CDTF">2001-10-25T15:46:00Z</dcterms:modified>
  <cp:revision>2</cp:revision>
  <dc:subject/>
  <dc:title>To:</dc:title>
</cp:coreProperties>
</file>