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The New Power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One Manhattanville Road</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Purchase, NY</w:t>
              <w:tab/>
              <w:t>Zip: 10577-2100</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Arial Unicode MS" w:cs="Arial Unicode MS" w:ascii="Arial Unicode MS" w:hAnsi="Arial Unicode MS"/>
                <w:b/>
                <w:bCs/>
              </w:rPr>
              <w:t>⊠</w:t>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Arial Unicode MS" w:cs="Arial Unicode MS" w:ascii="Arial Unicode MS" w:hAnsi="Arial Unicode MS"/>
                <w:b/>
                <w:bCs/>
                <w:sz w:val="24"/>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Arial Unicode MS" w:cs="Arial Unicode MS" w:ascii="Arial Unicode MS" w:hAnsi="Arial Unicode MS"/>
                <w:b/>
                <w:bCs/>
              </w:rPr>
              <w:t>⊠</w:t>
            </w:r>
            <w:r>
              <w:rPr>
                <w:sz w:val="20"/>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Arial Unicode MS" w:cs="Arial Unicode MS" w:ascii="Arial Unicode MS" w:hAnsi="Arial Unicode MS"/>
                <w:b/>
                <w:bCs/>
              </w:rPr>
              <w:t>⊠</w:t>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rFonts w:eastAsia="Arial Unicode MS" w:cs="Arial Unicode MS" w:ascii="Arial Unicode MS" w:hAnsi="Arial Unicode MS"/>
                <w:b/>
                <w:bCs/>
              </w:rPr>
              <w:t>⊠</w:t>
            </w:r>
            <w:r>
              <w:rPr>
                <w:rFonts w:cs="Times New Roman" w:ascii="Times New Roman" w:hAnsi="Times New Roman"/>
                <w:szCs w:val="24"/>
              </w:rPr>
              <w:t xml:space="preserve">  </w:t>
            </w:r>
            <w:r>
              <w:rPr>
                <w:rFonts w:cs="Times New Roman" w:ascii="Times New Roman" w:hAnsi="Times New Roman"/>
                <w:szCs w:val="24"/>
              </w:rPr>
              <w:t>Other Entity: NewPower</w:t>
              <w:br/>
              <w:t xml:space="preserve">                            Holdings, Inc.</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$1,000,000.00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Arial Unicode MS" w:cs="Arial Unicode MS" w:ascii="Arial Unicode MS" w:hAnsi="Arial Unicode MS"/>
                <w:b/>
                <w:bCs/>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r>
            <w:r>
              <w:rPr>
                <w:rFonts w:eastAsia="Arial Unicode MS" w:cs="Arial Unicode MS" w:ascii="Arial Unicode MS" w:hAnsi="Arial Unicode MS"/>
                <w:b/>
                <w:bCs/>
              </w:rPr>
              <w:t>⊠</w:t>
            </w:r>
            <w:r>
              <w:rPr>
                <w:sz w:val="20"/>
              </w:rPr>
              <w:tab/>
              <w:t>Option B   Specify: NewPower Holdings, Inc.</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cs="Arial Unicode MS" w:ascii="Arial Unicode MS" w:hAnsi="Arial Unicode MS"/>
                <w:b/>
                <w:bCs/>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$0.00</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Arial Unicode MS" w:cs="Arial Unicode MS" w:ascii="Arial Unicode MS" w:hAnsi="Arial Unicode MS"/>
                <w:b/>
                <w:bCs/>
              </w:rPr>
              <w:t>⊠</w:t>
            </w:r>
            <w:r>
              <w:rPr>
                <w:sz w:val="20"/>
              </w:rPr>
              <w:tab/>
              <w:t xml:space="preserve">Other: </w:t>
              <w:br/>
              <w:t xml:space="preserve">Specify: It shall be a Downgrade Event for Party B if, with respect to Party B, NewPower Holdings, Inc. shall have any of the following occur at any time:  (a) its Net Worth falls below $300,000,000; or (b) its Minimum Liquidity falls below $100,000,000.  </w:t>
            </w:r>
            <w:r>
              <w:rPr>
                <w:i/>
                <w:sz w:val="20"/>
              </w:rPr>
              <w:t>"</w:t>
            </w:r>
            <w:r>
              <w:rPr>
                <w:i/>
                <w:sz w:val="20"/>
                <w:u w:val="single"/>
              </w:rPr>
              <w:t>Net Worth</w:t>
            </w:r>
            <w:r>
              <w:rPr>
                <w:sz w:val="20"/>
              </w:rPr>
              <w:t xml:space="preserve">" means, with respect to the specified entity, such entity's total assets (exclusive of intangible assets), </w:t>
            </w:r>
            <w:r>
              <w:rPr>
                <w:sz w:val="20"/>
                <w:u w:val="single"/>
              </w:rPr>
              <w:t>minus</w:t>
            </w:r>
            <w:r>
              <w:rPr>
                <w:sz w:val="20"/>
              </w:rPr>
              <w:t xml:space="preserve"> such entity's total liabilities, each as would be reflected on a balance sheet of the specified entity prepared in accordance with GAAP.  </w:t>
            </w:r>
            <w:r>
              <w:rPr>
                <w:i/>
                <w:sz w:val="20"/>
              </w:rPr>
              <w:t>"</w:t>
            </w:r>
            <w:r>
              <w:rPr>
                <w:i/>
                <w:sz w:val="20"/>
                <w:u w:val="single"/>
              </w:rPr>
              <w:t>GAAP</w:t>
            </w:r>
            <w:r>
              <w:rPr>
                <w:i/>
                <w:sz w:val="20"/>
              </w:rPr>
              <w:t>"</w:t>
            </w:r>
            <w:r>
              <w:rPr>
                <w:sz w:val="20"/>
              </w:rPr>
              <w:t xml:space="preserve"> means generally accepted accounting principles, consistently applied.  </w:t>
            </w:r>
            <w:r>
              <w:rPr>
                <w:i/>
                <w:sz w:val="20"/>
              </w:rPr>
              <w:t>"</w:t>
            </w:r>
            <w:r>
              <w:rPr>
                <w:i/>
                <w:sz w:val="20"/>
                <w:u w:val="single"/>
              </w:rPr>
              <w:t>Minimum Liquidity</w:t>
            </w:r>
            <w:r>
              <w:rPr>
                <w:i/>
                <w:sz w:val="20"/>
              </w:rPr>
              <w:t xml:space="preserve">" </w:t>
            </w:r>
            <w:r>
              <w:rPr>
                <w:iCs/>
                <w:sz w:val="20"/>
              </w:rPr>
              <w:t xml:space="preserve">means, with respect to the specified entity, on a consolidated basis, such entity’s unencumbered Cash plus Marketable Securities, less such entity’s debt, face value of surety bonds and letters of credit issued by it or on its behalf, and the dollar amount of obligations claimable against guarantees issued by such entity.  </w:t>
            </w:r>
            <w:r>
              <w:rPr>
                <w:i/>
                <w:sz w:val="20"/>
              </w:rPr>
              <w:t>"</w:t>
            </w:r>
            <w:r>
              <w:rPr>
                <w:i/>
                <w:sz w:val="20"/>
                <w:u w:val="single"/>
              </w:rPr>
              <w:t>Cash</w:t>
            </w:r>
            <w:r>
              <w:rPr>
                <w:i/>
                <w:sz w:val="20"/>
              </w:rPr>
              <w:t>"</w:t>
            </w:r>
            <w:r>
              <w:rPr>
                <w:iCs/>
                <w:sz w:val="20"/>
              </w:rPr>
              <w:t xml:space="preserve"> means all amounts that would be reflected as such on a consolidated balance sheet of the specified entity prepared in accordance with GAAP.  </w:t>
            </w:r>
            <w:r>
              <w:rPr>
                <w:i/>
                <w:sz w:val="20"/>
              </w:rPr>
              <w:t>"</w:t>
            </w:r>
            <w:r>
              <w:rPr>
                <w:i/>
                <w:sz w:val="20"/>
                <w:u w:val="single"/>
              </w:rPr>
              <w:t>Marketable Securities</w:t>
            </w:r>
            <w:r>
              <w:rPr>
                <w:i/>
                <w:sz w:val="20"/>
              </w:rPr>
              <w:t>"</w:t>
            </w:r>
            <w:r>
              <w:rPr>
                <w:iCs/>
                <w:sz w:val="20"/>
              </w:rPr>
              <w:t xml:space="preserve"> means securities for which sales prices or bid and ask prices are readily available from a national securities exchange or in the over-the-counter market, including, but not limited to, government securities, banker’s acceptances and commercial paper.</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NewPower Holdings, Inc.</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$20,000,000.00</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r>
            <w:r>
              <w:rPr>
                <w:rFonts w:eastAsia="Arial Unicode MS" w:cs="Arial Unicode MS" w:ascii="Arial Unicode MS" w:hAnsi="Arial Unicode MS"/>
                <w:b/>
                <w:bCs/>
              </w:rPr>
              <w:t>⊠</w:t>
            </w:r>
            <w:r>
              <w:rPr>
                <w:sz w:val="20"/>
              </w:rPr>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cs="Arial Unicode MS" w:ascii="Arial Unicode MS" w:hAnsi="Arial Unicode MS"/>
                <w:b/>
                <w:bCs/>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$100,000,000.00;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Arial Unicode MS" w:cs="Arial Unicode MS" w:ascii="Arial Unicode MS" w:hAnsi="Arial Unicode MS"/>
                <w:b/>
                <w:bCs/>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$105,000,000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Arial Unicode MS" w:cs="Arial Unicode MS" w:ascii="Arial Unicode MS" w:hAnsi="Arial Unicode MS"/>
                <w:b/>
                <w:bCs/>
              </w:rPr>
              <w:t>⊠</w:t>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b/>
          <w:bCs/>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The New Power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2001-03-22T11:19:00Z</dcterms:created>
  <dc:creator>jmoore2</dc:creator>
  <dc:description/>
  <dc:language>en-CA</dc:language>
  <cp:lastModifiedBy>dportz</cp:lastModifiedBy>
  <cp:lastPrinted>2001-03-22T10:03:00Z</cp:lastPrinted>
  <dcterms:modified xsi:type="dcterms:W3CDTF">2001-03-23T16:13:00Z</dcterms:modified>
  <cp:revision>6</cp:revision>
  <dc:subject/>
  <dc:title>MASTER POWER PURCHASE AND SALE AGREEMENT</dc:title>
</cp:coreProperties>
</file>