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The New Power Company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The New Power Company</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The New Power Company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One Hundred Five Million</w:t>
      </w:r>
      <w:r>
        <w:rPr>
          <w:b/>
          <w:bCs/>
          <w:spacing w:val="-2"/>
        </w:rPr>
        <w:t xml:space="preserve"> </w:t>
      </w:r>
      <w:r>
        <w:rPr>
          <w:spacing w:val="-2"/>
        </w:rPr>
        <w:t>U.S. Dollars ($105,000,000).</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t>The New Power Company</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One Manhattanville Road</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Purchase, NY  10577-2100</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2001-03-22T13:27:00Z</dcterms:created>
  <dc:creator>WordProcessing</dc:creator>
  <dc:description/>
  <dc:language>en-CA</dc:language>
  <cp:lastModifiedBy>gfitzge</cp:lastModifiedBy>
  <cp:lastPrinted>2001-03-22T09:59:00Z</cp:lastPrinted>
  <dcterms:modified xsi:type="dcterms:W3CDTF">2001-03-22T13:29:00Z</dcterms:modified>
  <cp:revision>3</cp:revision>
  <dc:subject/>
  <dc:title>  </dc:title>
</cp:coreProperties>
</file>