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b/>
        </w:rPr>
      </w:pPr>
      <w:r>
        <w:rPr>
          <w:b/>
        </w:rPr>
      </w:r>
    </w:p>
    <w:p>
      <w:pPr>
        <w:pStyle w:val="Subtitle"/>
        <w:rPr>
          <w:b/>
        </w:rPr>
      </w:pPr>
      <w:r>
        <w:rPr>
          <w:b/>
        </w:rPr>
      </w:r>
    </w:p>
    <w:p>
      <w:pPr>
        <w:pStyle w:val="Subtitle"/>
        <w:rPr>
          <w:b/>
        </w:rPr>
      </w:pPr>
      <w:r>
        <w:rPr>
          <w:b/>
        </w:rPr>
      </w:r>
    </w:p>
    <w:p>
      <w:pPr>
        <w:pStyle w:val="Subtitle"/>
        <w:rPr>
          <w:b/>
        </w:rPr>
      </w:pPr>
      <w:r>
        <w:rPr>
          <w:b/>
        </w:rPr>
      </w:r>
    </w:p>
    <w:p>
      <w:pPr>
        <w:pStyle w:val="Subtitle"/>
        <w:rPr>
          <w:b/>
        </w:rPr>
      </w:pPr>
      <w:r>
        <w:rPr/>
        <w:drawing>
          <wp:inline distT="0" distB="0" distL="0" distR="0">
            <wp:extent cx="918210" cy="9175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8210" cy="917575"/>
                    </a:xfrm>
                    <a:prstGeom prst="rect">
                      <a:avLst/>
                    </a:prstGeom>
                    <a:noFill/>
                  </pic:spPr>
                </pic:pic>
              </a:graphicData>
            </a:graphic>
          </wp:inline>
        </w:drawing>
      </w:r>
    </w:p>
    <w:p>
      <w:pPr>
        <w:pStyle w:val="Subtitle"/>
        <w:rPr>
          <w:b/>
        </w:rPr>
      </w:pPr>
      <w:r>
        <w:rPr>
          <w:b/>
        </w:rPr>
      </w:r>
    </w:p>
    <w:p>
      <w:pPr>
        <w:pStyle w:val="Subtitle"/>
        <w:rPr>
          <w:b/>
        </w:rPr>
      </w:pPr>
      <w:r>
        <w:rPr>
          <w:b/>
        </w:rPr>
      </w:r>
    </w:p>
    <w:p>
      <w:pPr>
        <w:pStyle w:val="BodyText"/>
        <w:jc w:val="center"/>
        <w:rPr>
          <w:b/>
          <w:bCs/>
          <w:i w:val="false"/>
          <w:i w:val="false"/>
          <w:iCs/>
          <w:color w:val="000080"/>
          <w:sz w:val="44"/>
        </w:rPr>
      </w:pPr>
      <w:r>
        <w:rPr>
          <w:b/>
          <w:bCs/>
          <w:i w:val="false"/>
          <w:iCs/>
          <w:color w:val="000080"/>
          <w:sz w:val="44"/>
        </w:rPr>
        <w:t>Enron Corp.</w:t>
      </w:r>
    </w:p>
    <w:p>
      <w:pPr>
        <w:pStyle w:val="BodyText"/>
        <w:jc w:val="center"/>
        <w:rPr>
          <w:b/>
          <w:bCs/>
          <w:i w:val="false"/>
          <w:i w:val="false"/>
          <w:iCs/>
          <w:color w:val="000080"/>
          <w:sz w:val="32"/>
        </w:rPr>
      </w:pPr>
      <w:r>
        <w:rPr>
          <w:b/>
          <w:bCs/>
          <w:i w:val="false"/>
          <w:iCs/>
          <w:color w:val="000080"/>
          <w:sz w:val="44"/>
        </w:rPr>
        <w:t>Risk Management Policy</w:t>
      </w:r>
    </w:p>
    <w:p>
      <w:pPr>
        <w:pStyle w:val="EndnoteText"/>
        <w:rPr>
          <w:b/>
          <w:bCs/>
          <w:i/>
          <w:i/>
          <w:iCs/>
          <w:color w:val="000080"/>
          <w:sz w:val="32"/>
        </w:rPr>
      </w:pPr>
      <w:r>
        <w:rPr>
          <w:b/>
          <w:bCs/>
          <w:i/>
          <w:iCs/>
          <w:color w:val="000080"/>
          <w:sz w:val="32"/>
        </w:rPr>
      </w:r>
    </w:p>
    <w:p>
      <w:pPr>
        <w:pStyle w:val="Subtitle"/>
        <w:numPr>
          <w:ilvl w:val="0"/>
          <w:numId w:val="0"/>
        </w:numPr>
        <w:outlineLvl w:val="0"/>
        <w:rPr>
          <w:bCs/>
          <w:color w:val="808080"/>
        </w:rPr>
      </w:pPr>
      <w:r>
        <w:rPr>
          <w:bCs/>
          <w:color w:val="808080"/>
        </w:rPr>
        <w:t>Proprietary and Confidential</w:t>
      </w:r>
      <w:r>
        <w:br w:type="page"/>
      </w:r>
      <w:r>
        <mc:AlternateContent>
          <mc:Choice Requires="wps">
            <w:drawing>
              <wp:anchor behindDoc="0" distT="0" distB="0" distL="114300" distR="114300" simplePos="0" locked="0" layoutInCell="0" allowOverlap="1" relativeHeight="3">
                <wp:simplePos x="0" y="0"/>
                <wp:positionH relativeFrom="page">
                  <wp:posOffset>3429635</wp:posOffset>
                </wp:positionH>
                <wp:positionV relativeFrom="paragraph">
                  <wp:posOffset>532765</wp:posOffset>
                </wp:positionV>
                <wp:extent cx="2300605" cy="160655"/>
                <wp:effectExtent l="0" t="0" r="0" b="0"/>
                <wp:wrapSquare wrapText="bothSides"/>
                <wp:docPr id="2" name="Frame1"/>
                <a:graphic xmlns:a="http://schemas.openxmlformats.org/drawingml/2006/main">
                  <a:graphicData uri="http://schemas.microsoft.com/office/word/2010/wordprocessingShape">
                    <wps:wsp>
                      <wps:cNvSpPr txBox="1"/>
                      <wps:spPr>
                        <a:xfrm>
                          <a:off x="0" y="0"/>
                          <a:ext cx="2300605" cy="160655"/>
                        </a:xfrm>
                        <a:prstGeom prst="rect"/>
                        <a:solidFill>
                          <a:srgbClr val="FFFFFF">
                            <a:alpha val="0"/>
                          </a:srgbClr>
                        </a:solidFill>
                      </wps:spPr>
                      <wps:txbx>
                        <w:txbxContent>
                          <w:p>
                            <w:pPr>
                              <w:pStyle w:val="Normal"/>
                              <w:ind w:firstLine="720" w:start="2880" w:end="0"/>
                              <w:jc w:val="both"/>
                              <w:rPr/>
                            </w:pPr>
                            <w:r>
                              <w:rPr/>
                            </w:r>
                          </w:p>
                        </w:txbxContent>
                      </wps:txbx>
                      <wps:bodyPr anchor="t" lIns="0" tIns="0" rIns="0" bIns="0">
                        <a:noAutofit/>
                      </wps:bodyPr>
                    </wps:wsp>
                  </a:graphicData>
                </a:graphic>
              </wp:anchor>
            </w:drawing>
          </mc:Choice>
          <mc:Fallback>
            <w:pict>
              <v:rect fillcolor="#FFFFFF" style="position:absolute;rotation:-0;width:181.15pt;height:12.65pt;mso-wrap-distance-left:9pt;mso-wrap-distance-right:9pt;mso-wrap-distance-top:0pt;mso-wrap-distance-bottom:0pt;margin-top:41.95pt;mso-position-vertical-relative:text;margin-left:270.05pt;mso-position-horizontal-relative:page">
                <v:fill opacity="0f"/>
                <v:textbox inset="0in,0in,0in,0in">
                  <w:txbxContent>
                    <w:p>
                      <w:pPr>
                        <w:pStyle w:val="Normal"/>
                        <w:ind w:firstLine="720" w:start="2880" w:end="0"/>
                        <w:jc w:val="both"/>
                        <w:rPr/>
                      </w:pPr>
                      <w:r>
                        <w:rPr/>
                      </w:r>
                    </w:p>
                  </w:txbxContent>
                </v:textbox>
                <w10:wrap type="square"/>
              </v:rect>
            </w:pict>
          </mc:Fallback>
        </mc:AlternateContent>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pPr>
      <w:r>
        <w:rPr/>
      </w:r>
    </w:p>
    <w:p>
      <w:pPr>
        <w:pStyle w:val="Subtitle"/>
        <w:numPr>
          <w:ilvl w:val="0"/>
          <w:numId w:val="0"/>
        </w:numPr>
        <w:outlineLvl w:val="0"/>
        <w:rPr>
          <w:b/>
          <w:bCs/>
          <w:sz w:val="40"/>
        </w:rPr>
      </w:pPr>
      <w:r>
        <w:rPr>
          <w:b/>
          <w:bCs/>
          <w:sz w:val="40"/>
        </w:rPr>
        <w:t>“</w:t>
      </w:r>
      <w:r>
        <w:rPr>
          <w:b/>
          <w:bCs/>
          <w:sz w:val="40"/>
        </w:rPr>
        <w:t>Risk capital is gambling money such as might be staked upon a horse race”</w:t>
      </w:r>
    </w:p>
    <w:p>
      <w:pPr>
        <w:pStyle w:val="Subtitle"/>
        <w:numPr>
          <w:ilvl w:val="0"/>
          <w:numId w:val="0"/>
        </w:numPr>
        <w:outlineLvl w:val="0"/>
        <w:rPr>
          <w:b/>
          <w:bCs/>
          <w:sz w:val="40"/>
        </w:rPr>
      </w:pPr>
      <w:r>
        <w:rPr>
          <w:b/>
          <w:bCs/>
          <w:sz w:val="40"/>
        </w:rPr>
      </w:r>
    </w:p>
    <w:p>
      <w:pPr>
        <w:pStyle w:val="Subtitle"/>
        <w:numPr>
          <w:ilvl w:val="0"/>
          <w:numId w:val="0"/>
        </w:numPr>
        <w:jc w:val="end"/>
        <w:outlineLvl w:val="0"/>
        <w:rPr/>
      </w:pPr>
      <w:r>
        <w:rPr/>
        <w:t>Nevil Shute, 1954</w:t>
      </w:r>
    </w:p>
    <w:sdt>
      <w:sdtPr>
        <w:docPartObj>
          <w:docPartGallery w:val="Table of Contents"/>
          <w:docPartUnique w:val="true"/>
        </w:docPartObj>
      </w:sdtPr>
      <w:sdtContent>
        <w:p>
          <w:pPr>
            <w:pStyle w:val="TOC1"/>
            <w:tabs>
              <w:tab w:val="left" w:pos="400" w:leader="none"/>
              <w:tab w:val="right" w:pos="9016" w:leader="dot"/>
            </w:tabs>
            <w:rPr>
              <w:i/>
              <w:i/>
              <w:iCs/>
              <w:sz w:val="32"/>
            </w:rPr>
          </w:pPr>
          <w:r>
            <w:br w:type="page"/>
          </w:r>
          <w:r>
            <w:fldChar w:fldCharType="begin"/>
          </w:r>
          <w:r>
            <w:rPr>
              <w:sz w:val="32"/>
              <w:i/>
              <w:iCs/>
            </w:rPr>
            <w:instrText xml:space="preserve"> TOC \o "2-4" \h \z \t "Heading 1,1" </w:instrText>
          </w:r>
          <w:r>
            <w:rPr>
              <w:sz w:val="32"/>
              <w:i/>
              <w:iCs/>
            </w:rPr>
            <w:fldChar w:fldCharType="separate"/>
          </w:r>
          <w:r>
            <w:rPr>
              <w:i/>
              <w:iCs/>
              <w:sz w:val="32"/>
            </w:rPr>
          </w:r>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44">
            <w:r>
              <w:rPr>
                <w:rStyle w:val="IndexLink"/>
                <w:szCs w:val="28"/>
              </w:rPr>
              <w:t>1</w:t>
            </w:r>
            <w:r>
              <w:rPr>
                <w:rStyle w:val="IndexLink"/>
                <w:rFonts w:cs="Times New Roman" w:ascii="Times New Roman" w:hAnsi="Times New Roman"/>
                <w:b w:val="false"/>
                <w:caps w:val="false"/>
                <w:smallCaps w:val="false"/>
                <w:sz w:val="24"/>
                <w:szCs w:val="24"/>
                <w:lang w:val="en-US" w:eastAsia="en-CA"/>
              </w:rPr>
              <w:tab/>
            </w:r>
            <w:r>
              <w:rPr>
                <w:rStyle w:val="IndexLink"/>
                <w:szCs w:val="28"/>
              </w:rPr>
              <w:t>Introduction</w:t>
            </w:r>
            <w:r>
              <w:rPr>
                <w:rStyle w:val="IndexLink"/>
              </w:rPr>
              <w:tab/>
              <w:t>6</w:t>
            </w:r>
          </w:hyperlink>
        </w:p>
        <w:p>
          <w:pPr>
            <w:pStyle w:val="TOC2"/>
            <w:rPr>
              <w:rFonts w:ascii="Times New Roman" w:hAnsi="Times New Roman" w:cs="Times New Roman"/>
              <w:caps w:val="false"/>
              <w:smallCaps w:val="false"/>
              <w:szCs w:val="24"/>
              <w:lang w:val="en-US" w:eastAsia="en-CA"/>
            </w:rPr>
          </w:pPr>
          <w:hyperlink w:anchor="__RefHeading___Toc516910245">
            <w:r>
              <w:rPr>
                <w:rStyle w:val="IndexLink"/>
              </w:rPr>
              <w:t>1.1</w:t>
            </w:r>
            <w:r>
              <w:rPr>
                <w:rStyle w:val="IndexLink"/>
                <w:rFonts w:cs="Times New Roman" w:ascii="Times New Roman" w:hAnsi="Times New Roman"/>
                <w:caps w:val="false"/>
                <w:smallCaps w:val="false"/>
                <w:szCs w:val="24"/>
                <w:lang w:val="en-US" w:eastAsia="en-CA"/>
              </w:rPr>
              <w:tab/>
            </w:r>
            <w:r>
              <w:rPr>
                <w:rStyle w:val="IndexLink"/>
              </w:rPr>
              <w:t>Objective</w:t>
              <w:tab/>
              <w:t>6</w:t>
            </w:r>
          </w:hyperlink>
        </w:p>
        <w:p>
          <w:pPr>
            <w:pStyle w:val="TOC2"/>
            <w:rPr>
              <w:rFonts w:ascii="Times New Roman" w:hAnsi="Times New Roman" w:cs="Times New Roman"/>
              <w:caps w:val="false"/>
              <w:smallCaps w:val="false"/>
              <w:szCs w:val="24"/>
              <w:lang w:val="en-US" w:eastAsia="en-CA"/>
            </w:rPr>
          </w:pPr>
          <w:hyperlink w:anchor="__RefHeading___Toc516910246">
            <w:r>
              <w:rPr>
                <w:rStyle w:val="IndexLink"/>
              </w:rPr>
              <w:t>1.2</w:t>
            </w:r>
            <w:r>
              <w:rPr>
                <w:rStyle w:val="IndexLink"/>
                <w:rFonts w:cs="Times New Roman" w:ascii="Times New Roman" w:hAnsi="Times New Roman"/>
                <w:caps w:val="false"/>
                <w:smallCaps w:val="false"/>
                <w:szCs w:val="24"/>
                <w:lang w:val="en-US" w:eastAsia="en-CA"/>
              </w:rPr>
              <w:tab/>
            </w:r>
            <w:r>
              <w:rPr>
                <w:rStyle w:val="IndexLink"/>
              </w:rPr>
              <w:t>Risk Based Capital Allocation</w:t>
              <w:tab/>
              <w:t>6</w:t>
            </w:r>
          </w:hyperlink>
        </w:p>
        <w:p>
          <w:pPr>
            <w:pStyle w:val="TOC2"/>
            <w:rPr>
              <w:rFonts w:ascii="Times New Roman" w:hAnsi="Times New Roman" w:cs="Times New Roman"/>
              <w:caps w:val="false"/>
              <w:smallCaps w:val="false"/>
              <w:szCs w:val="24"/>
              <w:lang w:val="en-US" w:eastAsia="en-CA"/>
            </w:rPr>
          </w:pPr>
          <w:hyperlink w:anchor="__RefHeading___Toc516910247">
            <w:r>
              <w:rPr>
                <w:rStyle w:val="IndexLink"/>
              </w:rPr>
              <w:t>1.3</w:t>
            </w:r>
            <w:r>
              <w:rPr>
                <w:rStyle w:val="IndexLink"/>
                <w:rFonts w:cs="Times New Roman" w:ascii="Times New Roman" w:hAnsi="Times New Roman"/>
                <w:caps w:val="false"/>
                <w:smallCaps w:val="false"/>
                <w:szCs w:val="24"/>
                <w:lang w:val="en-US" w:eastAsia="en-CA"/>
              </w:rPr>
              <w:tab/>
            </w:r>
            <w:r>
              <w:rPr>
                <w:rStyle w:val="IndexLink"/>
              </w:rPr>
              <w:t>Preservation of Capital</w:t>
              <w:tab/>
              <w:t>6</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48">
            <w:r>
              <w:rPr>
                <w:rStyle w:val="IndexLink"/>
                <w:szCs w:val="28"/>
              </w:rPr>
              <w:t>2</w:t>
            </w:r>
            <w:r>
              <w:rPr>
                <w:rStyle w:val="IndexLink"/>
                <w:rFonts w:cs="Times New Roman" w:ascii="Times New Roman" w:hAnsi="Times New Roman"/>
                <w:b w:val="false"/>
                <w:caps w:val="false"/>
                <w:smallCaps w:val="false"/>
                <w:sz w:val="24"/>
                <w:szCs w:val="24"/>
                <w:lang w:val="en-US" w:eastAsia="en-CA"/>
              </w:rPr>
              <w:tab/>
            </w:r>
            <w:r>
              <w:rPr>
                <w:rStyle w:val="IndexLink"/>
                <w:szCs w:val="28"/>
              </w:rPr>
              <w:t>Portfolios</w:t>
            </w:r>
            <w:r>
              <w:rPr>
                <w:rStyle w:val="IndexLink"/>
              </w:rPr>
              <w:tab/>
              <w:t>7</w:t>
            </w:r>
          </w:hyperlink>
        </w:p>
        <w:p>
          <w:pPr>
            <w:pStyle w:val="TOC2"/>
            <w:rPr>
              <w:rFonts w:ascii="Times New Roman" w:hAnsi="Times New Roman" w:cs="Times New Roman"/>
              <w:caps w:val="false"/>
              <w:smallCaps w:val="false"/>
              <w:szCs w:val="24"/>
              <w:lang w:val="en-US" w:eastAsia="en-CA"/>
            </w:rPr>
          </w:pPr>
          <w:hyperlink w:anchor="__RefHeading___Toc516910249">
            <w:r>
              <w:rPr>
                <w:rStyle w:val="IndexLink"/>
              </w:rPr>
              <w:t>2.1</w:t>
            </w:r>
            <w:r>
              <w:rPr>
                <w:rStyle w:val="IndexLink"/>
                <w:rFonts w:cs="Times New Roman" w:ascii="Times New Roman" w:hAnsi="Times New Roman"/>
                <w:caps w:val="false"/>
                <w:smallCaps w:val="false"/>
                <w:szCs w:val="24"/>
                <w:lang w:val="en-US" w:eastAsia="en-CA"/>
              </w:rPr>
              <w:tab/>
            </w:r>
            <w:r>
              <w:rPr>
                <w:rStyle w:val="IndexLink"/>
              </w:rPr>
              <w:t>Mark-to-Market (Trading) Portfolio</w:t>
              <w:tab/>
              <w:t>7</w:t>
            </w:r>
          </w:hyperlink>
        </w:p>
        <w:p>
          <w:pPr>
            <w:pStyle w:val="TOC2"/>
            <w:rPr>
              <w:rFonts w:ascii="Times New Roman" w:hAnsi="Times New Roman" w:cs="Times New Roman"/>
              <w:caps w:val="false"/>
              <w:smallCaps w:val="false"/>
              <w:szCs w:val="24"/>
              <w:lang w:val="en-US" w:eastAsia="en-CA"/>
            </w:rPr>
          </w:pPr>
          <w:hyperlink w:anchor="__RefHeading___Toc516910250">
            <w:r>
              <w:rPr>
                <w:rStyle w:val="IndexLink"/>
              </w:rPr>
              <w:t>2.2</w:t>
            </w:r>
            <w:r>
              <w:rPr>
                <w:rStyle w:val="IndexLink"/>
                <w:rFonts w:cs="Times New Roman" w:ascii="Times New Roman" w:hAnsi="Times New Roman"/>
                <w:caps w:val="false"/>
                <w:smallCaps w:val="false"/>
                <w:szCs w:val="24"/>
                <w:lang w:val="en-US" w:eastAsia="en-CA"/>
              </w:rPr>
              <w:tab/>
            </w:r>
            <w:r>
              <w:rPr>
                <w:rStyle w:val="IndexLink"/>
              </w:rPr>
              <w:t>Fair Value (Merchant) Portfolio</w:t>
              <w:tab/>
              <w:t>7</w:t>
            </w:r>
          </w:hyperlink>
        </w:p>
        <w:p>
          <w:pPr>
            <w:pStyle w:val="TOC2"/>
            <w:rPr>
              <w:rFonts w:ascii="Times New Roman" w:hAnsi="Times New Roman" w:cs="Times New Roman"/>
              <w:caps w:val="false"/>
              <w:smallCaps w:val="false"/>
              <w:szCs w:val="24"/>
              <w:lang w:val="en-US" w:eastAsia="en-CA"/>
            </w:rPr>
          </w:pPr>
          <w:hyperlink w:anchor="__RefHeading___Toc516910251">
            <w:r>
              <w:rPr>
                <w:rStyle w:val="IndexLink"/>
              </w:rPr>
              <w:t>2.3</w:t>
            </w:r>
            <w:r>
              <w:rPr>
                <w:rStyle w:val="IndexLink"/>
                <w:rFonts w:cs="Times New Roman" w:ascii="Times New Roman" w:hAnsi="Times New Roman"/>
                <w:caps w:val="false"/>
                <w:smallCaps w:val="false"/>
                <w:szCs w:val="24"/>
                <w:lang w:val="en-US" w:eastAsia="en-CA"/>
              </w:rPr>
              <w:tab/>
            </w:r>
            <w:r>
              <w:rPr>
                <w:rStyle w:val="IndexLink"/>
              </w:rPr>
              <w:t>Regulated Domestic Asset Portfolio</w:t>
              <w:tab/>
              <w:t>7</w:t>
            </w:r>
          </w:hyperlink>
        </w:p>
        <w:p>
          <w:pPr>
            <w:pStyle w:val="TOC2"/>
            <w:rPr>
              <w:rFonts w:ascii="Times New Roman" w:hAnsi="Times New Roman" w:cs="Times New Roman"/>
              <w:caps w:val="false"/>
              <w:smallCaps w:val="false"/>
              <w:szCs w:val="24"/>
              <w:lang w:val="en-US" w:eastAsia="en-CA"/>
            </w:rPr>
          </w:pPr>
          <w:hyperlink w:anchor="__RefHeading___Toc516910252">
            <w:r>
              <w:rPr>
                <w:rStyle w:val="IndexLink"/>
              </w:rPr>
              <w:t>2.4</w:t>
            </w:r>
            <w:r>
              <w:rPr>
                <w:rStyle w:val="IndexLink"/>
                <w:rFonts w:cs="Times New Roman" w:ascii="Times New Roman" w:hAnsi="Times New Roman"/>
                <w:caps w:val="false"/>
                <w:smallCaps w:val="false"/>
                <w:szCs w:val="24"/>
                <w:lang w:val="en-US" w:eastAsia="en-CA"/>
              </w:rPr>
              <w:tab/>
            </w:r>
            <w:r>
              <w:rPr>
                <w:rStyle w:val="IndexLink"/>
              </w:rPr>
              <w:t>Retail Portfolio</w:t>
              <w:tab/>
              <w:t>7</w:t>
            </w:r>
          </w:hyperlink>
        </w:p>
        <w:p>
          <w:pPr>
            <w:pStyle w:val="TOC2"/>
            <w:rPr>
              <w:rFonts w:ascii="Times New Roman" w:hAnsi="Times New Roman" w:cs="Times New Roman"/>
              <w:caps w:val="false"/>
              <w:smallCaps w:val="false"/>
              <w:szCs w:val="24"/>
              <w:lang w:val="en-US" w:eastAsia="en-CA"/>
            </w:rPr>
          </w:pPr>
          <w:hyperlink w:anchor="__RefHeading___Toc516910253">
            <w:r>
              <w:rPr>
                <w:rStyle w:val="IndexLink"/>
              </w:rPr>
              <w:t>2.5</w:t>
            </w:r>
            <w:r>
              <w:rPr>
                <w:rStyle w:val="IndexLink"/>
                <w:rFonts w:cs="Times New Roman" w:ascii="Times New Roman" w:hAnsi="Times New Roman"/>
                <w:caps w:val="false"/>
                <w:smallCaps w:val="false"/>
                <w:szCs w:val="24"/>
                <w:lang w:val="en-US" w:eastAsia="en-CA"/>
              </w:rPr>
              <w:tab/>
            </w:r>
            <w:r>
              <w:rPr>
                <w:rStyle w:val="IndexLink"/>
              </w:rPr>
              <w:t>Other Assets and Contracts Portfolio</w:t>
              <w:tab/>
              <w:t>7</w:t>
            </w:r>
          </w:hyperlink>
        </w:p>
        <w:p>
          <w:pPr>
            <w:pStyle w:val="TOC2"/>
            <w:rPr>
              <w:rFonts w:ascii="Times New Roman" w:hAnsi="Times New Roman" w:cs="Times New Roman"/>
              <w:caps w:val="false"/>
              <w:smallCaps w:val="false"/>
              <w:szCs w:val="24"/>
              <w:lang w:val="en-US" w:eastAsia="en-CA"/>
            </w:rPr>
          </w:pPr>
          <w:hyperlink w:anchor="__RefHeading___Toc516910254">
            <w:r>
              <w:rPr>
                <w:rStyle w:val="IndexLink"/>
              </w:rPr>
              <w:t>2.6</w:t>
            </w:r>
            <w:r>
              <w:rPr>
                <w:rStyle w:val="IndexLink"/>
                <w:rFonts w:cs="Times New Roman" w:ascii="Times New Roman" w:hAnsi="Times New Roman"/>
                <w:caps w:val="false"/>
                <w:smallCaps w:val="false"/>
                <w:szCs w:val="24"/>
                <w:lang w:val="en-US" w:eastAsia="en-CA"/>
              </w:rPr>
              <w:tab/>
            </w:r>
            <w:r>
              <w:rPr>
                <w:rStyle w:val="IndexLink"/>
              </w:rPr>
              <w:t>Enron Corp. Stock  (Capital) Portfolio</w:t>
              <w:tab/>
              <w:t>8</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55">
            <w:r>
              <w:rPr>
                <w:rStyle w:val="IndexLink"/>
                <w:szCs w:val="28"/>
              </w:rPr>
              <w:t>3</w:t>
            </w:r>
            <w:r>
              <w:rPr>
                <w:rStyle w:val="IndexLink"/>
                <w:rFonts w:cs="Times New Roman" w:ascii="Times New Roman" w:hAnsi="Times New Roman"/>
                <w:b w:val="false"/>
                <w:caps w:val="false"/>
                <w:smallCaps w:val="false"/>
                <w:sz w:val="24"/>
                <w:szCs w:val="24"/>
                <w:lang w:val="en-US" w:eastAsia="en-CA"/>
              </w:rPr>
              <w:tab/>
            </w:r>
            <w:r>
              <w:rPr>
                <w:rStyle w:val="IndexLink"/>
                <w:szCs w:val="28"/>
              </w:rPr>
              <w:t>Risk Based Capital Allocation</w:t>
            </w:r>
            <w:r>
              <w:rPr>
                <w:rStyle w:val="IndexLink"/>
              </w:rPr>
              <w:tab/>
              <w:t>8</w:t>
            </w:r>
          </w:hyperlink>
        </w:p>
        <w:p>
          <w:pPr>
            <w:pStyle w:val="TOC2"/>
            <w:rPr>
              <w:rFonts w:ascii="Times New Roman" w:hAnsi="Times New Roman" w:cs="Times New Roman"/>
              <w:caps w:val="false"/>
              <w:smallCaps w:val="false"/>
              <w:szCs w:val="24"/>
              <w:lang w:val="en-US" w:eastAsia="en-CA"/>
            </w:rPr>
          </w:pPr>
          <w:hyperlink w:anchor="__RefHeading___Toc516910256">
            <w:r>
              <w:rPr>
                <w:rStyle w:val="IndexLink"/>
              </w:rPr>
              <w:t>3.1</w:t>
            </w:r>
            <w:r>
              <w:rPr>
                <w:rStyle w:val="IndexLink"/>
                <w:rFonts w:cs="Times New Roman" w:ascii="Times New Roman" w:hAnsi="Times New Roman"/>
                <w:caps w:val="false"/>
                <w:smallCaps w:val="false"/>
                <w:szCs w:val="24"/>
                <w:lang w:val="en-US" w:eastAsia="en-CA"/>
              </w:rPr>
              <w:tab/>
            </w:r>
            <w:r>
              <w:rPr>
                <w:rStyle w:val="IndexLink"/>
              </w:rPr>
              <w:t>Returns on Risk Capital</w:t>
              <w:tab/>
              <w:t>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57">
            <w:r>
              <w:rPr>
                <w:rStyle w:val="IndexLink"/>
                <w:lang w:val="en-CA" w:eastAsia="en-CA"/>
              </w:rPr>
              <w:t>3.1.1</w:t>
            </w:r>
            <w:r>
              <w:rPr>
                <w:rStyle w:val="IndexLink"/>
                <w:rFonts w:cs="Times New Roman" w:ascii="Times New Roman" w:hAnsi="Times New Roman"/>
                <w:sz w:val="24"/>
                <w:szCs w:val="24"/>
                <w:lang w:val="en-US" w:eastAsia="en-CA"/>
              </w:rPr>
              <w:tab/>
            </w:r>
            <w:r>
              <w:rPr>
                <w:rStyle w:val="IndexLink"/>
                <w:lang w:val="en-CA" w:eastAsia="en-CA"/>
              </w:rPr>
              <w:t>Return on Value-at-Risk (RoVaR)</w:t>
              <w:tab/>
              <w:t>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58">
            <w:r>
              <w:rPr>
                <w:rStyle w:val="IndexLink"/>
                <w:lang w:val="en-CA" w:eastAsia="en-CA"/>
              </w:rPr>
              <w:t>3.1.2</w:t>
            </w:r>
            <w:r>
              <w:rPr>
                <w:rStyle w:val="IndexLink"/>
                <w:rFonts w:cs="Times New Roman" w:ascii="Times New Roman" w:hAnsi="Times New Roman"/>
                <w:sz w:val="24"/>
                <w:szCs w:val="24"/>
                <w:lang w:val="en-US" w:eastAsia="en-CA"/>
              </w:rPr>
              <w:tab/>
            </w:r>
            <w:r>
              <w:rPr>
                <w:rStyle w:val="IndexLink"/>
                <w:lang w:val="en-CA" w:eastAsia="en-CA"/>
              </w:rPr>
              <w:t>Return on Capital-at-Risk (RoCaR)</w:t>
              <w:tab/>
              <w:t>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59">
            <w:r>
              <w:rPr>
                <w:rStyle w:val="IndexLink"/>
                <w:lang w:val="en-CA" w:eastAsia="en-CA"/>
              </w:rPr>
              <w:t>3.1.3</w:t>
            </w:r>
            <w:r>
              <w:rPr>
                <w:rStyle w:val="IndexLink"/>
                <w:rFonts w:cs="Times New Roman" w:ascii="Times New Roman" w:hAnsi="Times New Roman"/>
                <w:sz w:val="24"/>
                <w:szCs w:val="24"/>
                <w:lang w:val="en-US" w:eastAsia="en-CA"/>
              </w:rPr>
              <w:tab/>
            </w:r>
            <w:r>
              <w:rPr>
                <w:rStyle w:val="IndexLink"/>
                <w:lang w:val="en-CA" w:eastAsia="en-CA"/>
              </w:rPr>
              <w:t>Return on Earnings-at-Risk (EaR)</w:t>
              <w:tab/>
              <w:t>9</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60">
            <w:r>
              <w:rPr>
                <w:rStyle w:val="IndexLink"/>
                <w:lang w:val="en-CA" w:eastAsia="en-CA"/>
              </w:rPr>
              <w:t>3.1.4</w:t>
            </w:r>
            <w:r>
              <w:rPr>
                <w:rStyle w:val="IndexLink"/>
                <w:rFonts w:cs="Times New Roman" w:ascii="Times New Roman" w:hAnsi="Times New Roman"/>
                <w:sz w:val="24"/>
                <w:szCs w:val="24"/>
                <w:lang w:val="en-US" w:eastAsia="en-CA"/>
              </w:rPr>
              <w:tab/>
            </w:r>
            <w:r>
              <w:rPr>
                <w:rStyle w:val="IndexLink"/>
                <w:lang w:val="en-CA" w:eastAsia="en-CA"/>
              </w:rPr>
              <w:t>Other Metrics used in Transaction Approval Process</w:t>
              <w:tab/>
              <w:t>9</w:t>
            </w:r>
          </w:hyperlink>
        </w:p>
        <w:p>
          <w:pPr>
            <w:pStyle w:val="TOC2"/>
            <w:rPr>
              <w:rFonts w:ascii="Times New Roman" w:hAnsi="Times New Roman" w:cs="Times New Roman"/>
              <w:caps w:val="false"/>
              <w:smallCaps w:val="false"/>
              <w:szCs w:val="24"/>
              <w:lang w:val="en-US" w:eastAsia="en-CA"/>
            </w:rPr>
          </w:pPr>
          <w:hyperlink w:anchor="__RefHeading___Toc516910261">
            <w:r>
              <w:rPr>
                <w:rStyle w:val="IndexLink"/>
              </w:rPr>
              <w:t>3.2</w:t>
            </w:r>
            <w:r>
              <w:rPr>
                <w:rStyle w:val="IndexLink"/>
                <w:rFonts w:cs="Times New Roman" w:ascii="Times New Roman" w:hAnsi="Times New Roman"/>
                <w:caps w:val="false"/>
                <w:smallCaps w:val="false"/>
                <w:szCs w:val="24"/>
                <w:lang w:val="en-US" w:eastAsia="en-CA"/>
              </w:rPr>
              <w:tab/>
            </w:r>
            <w:r>
              <w:rPr>
                <w:rStyle w:val="IndexLink"/>
              </w:rPr>
              <w:t>Allocation of Risk Capital</w:t>
              <w:tab/>
              <w:t>9</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62">
            <w:r>
              <w:rPr>
                <w:rStyle w:val="IndexLink"/>
                <w:szCs w:val="28"/>
              </w:rPr>
              <w:t>4</w:t>
            </w:r>
            <w:r>
              <w:rPr>
                <w:rStyle w:val="IndexLink"/>
                <w:rFonts w:cs="Times New Roman" w:ascii="Times New Roman" w:hAnsi="Times New Roman"/>
                <w:b w:val="false"/>
                <w:caps w:val="false"/>
                <w:smallCaps w:val="false"/>
                <w:sz w:val="24"/>
                <w:szCs w:val="24"/>
                <w:lang w:val="en-US" w:eastAsia="en-CA"/>
              </w:rPr>
              <w:tab/>
            </w:r>
            <w:r>
              <w:rPr>
                <w:rStyle w:val="IndexLink"/>
                <w:szCs w:val="28"/>
              </w:rPr>
              <w:t>Preservation of Capital</w:t>
            </w:r>
            <w:r>
              <w:rPr>
                <w:rStyle w:val="IndexLink"/>
              </w:rPr>
              <w:tab/>
              <w:t>9</w:t>
            </w:r>
          </w:hyperlink>
        </w:p>
        <w:p>
          <w:pPr>
            <w:pStyle w:val="TOC2"/>
            <w:rPr>
              <w:rFonts w:ascii="Times New Roman" w:hAnsi="Times New Roman" w:cs="Times New Roman"/>
              <w:caps w:val="false"/>
              <w:smallCaps w:val="false"/>
              <w:szCs w:val="24"/>
              <w:lang w:val="en-US" w:eastAsia="en-CA"/>
            </w:rPr>
          </w:pPr>
          <w:hyperlink w:anchor="__RefHeading___Toc516910263">
            <w:r>
              <w:rPr>
                <w:rStyle w:val="IndexLink"/>
              </w:rPr>
              <w:t>4.1</w:t>
            </w:r>
            <w:r>
              <w:rPr>
                <w:rStyle w:val="IndexLink"/>
                <w:rFonts w:cs="Times New Roman" w:ascii="Times New Roman" w:hAnsi="Times New Roman"/>
                <w:caps w:val="false"/>
                <w:smallCaps w:val="false"/>
                <w:szCs w:val="24"/>
                <w:lang w:val="en-US" w:eastAsia="en-CA"/>
              </w:rPr>
              <w:tab/>
            </w:r>
            <w:r>
              <w:rPr>
                <w:rStyle w:val="IndexLink"/>
              </w:rPr>
              <w:t>Capital Associated with Market Risk</w:t>
              <w:tab/>
              <w:t>9</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64">
            <w:r>
              <w:rPr>
                <w:rStyle w:val="IndexLink"/>
                <w:lang w:val="en-CA" w:eastAsia="en-CA"/>
              </w:rPr>
              <w:t>4.1.1</w:t>
            </w:r>
            <w:r>
              <w:rPr>
                <w:rStyle w:val="IndexLink"/>
                <w:rFonts w:cs="Times New Roman" w:ascii="Times New Roman" w:hAnsi="Times New Roman"/>
                <w:sz w:val="24"/>
                <w:szCs w:val="24"/>
                <w:lang w:val="en-US" w:eastAsia="en-CA"/>
              </w:rPr>
              <w:tab/>
            </w:r>
            <w:r>
              <w:rPr>
                <w:rStyle w:val="IndexLink"/>
                <w:lang w:val="en-CA" w:eastAsia="en-CA"/>
              </w:rPr>
              <w:t>Risk Measurement for Market Risks</w:t>
              <w:tab/>
              <w:t>10</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65">
            <w:r>
              <w:rPr>
                <w:rStyle w:val="IndexLink"/>
                <w:sz w:val="20"/>
                <w:szCs w:val="22"/>
                <w:lang w:val="en-CA" w:eastAsia="en-CA"/>
              </w:rPr>
              <w:t>4.1.1.1</w:t>
            </w:r>
            <w:r>
              <w:rPr>
                <w:rStyle w:val="IndexLink"/>
                <w:rFonts w:cs="Times New Roman" w:ascii="Times New Roman" w:hAnsi="Times New Roman"/>
                <w:sz w:val="24"/>
                <w:szCs w:val="24"/>
                <w:lang w:val="en-US" w:eastAsia="en-CA"/>
              </w:rPr>
              <w:tab/>
            </w:r>
            <w:r>
              <w:rPr>
                <w:rStyle w:val="IndexLink"/>
                <w:szCs w:val="22"/>
                <w:lang w:val="en-CA" w:eastAsia="en-CA"/>
              </w:rPr>
              <w:t>Value-at-Risk</w:t>
            </w:r>
            <w:r>
              <w:rPr>
                <w:rStyle w:val="IndexLink"/>
                <w:lang w:val="en-CA" w:eastAsia="en-CA"/>
              </w:rPr>
              <w:tab/>
              <w:t>11</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66">
            <w:r>
              <w:rPr>
                <w:rStyle w:val="IndexLink"/>
                <w:sz w:val="20"/>
                <w:szCs w:val="22"/>
                <w:lang w:val="en-CA" w:eastAsia="en-CA"/>
              </w:rPr>
              <w:t>4.1.1.2</w:t>
            </w:r>
            <w:r>
              <w:rPr>
                <w:rStyle w:val="IndexLink"/>
                <w:rFonts w:cs="Times New Roman" w:ascii="Times New Roman" w:hAnsi="Times New Roman"/>
                <w:sz w:val="24"/>
                <w:szCs w:val="24"/>
                <w:lang w:val="en-US" w:eastAsia="en-CA"/>
              </w:rPr>
              <w:tab/>
            </w:r>
            <w:r>
              <w:rPr>
                <w:rStyle w:val="IndexLink"/>
                <w:szCs w:val="22"/>
                <w:lang w:val="en-CA" w:eastAsia="en-CA"/>
              </w:rPr>
              <w:t>Stress Testing and Scenario Testing.</w:t>
            </w:r>
            <w:r>
              <w:rPr>
                <w:rStyle w:val="IndexLink"/>
                <w:lang w:val="en-CA" w:eastAsia="en-CA"/>
              </w:rPr>
              <w:tab/>
              <w:t>11</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67">
            <w:r>
              <w:rPr>
                <w:rStyle w:val="IndexLink"/>
                <w:sz w:val="20"/>
                <w:szCs w:val="22"/>
                <w:lang w:val="en-CA" w:eastAsia="en-CA"/>
              </w:rPr>
              <w:t>4.1.1.3</w:t>
            </w:r>
            <w:r>
              <w:rPr>
                <w:rStyle w:val="IndexLink"/>
                <w:rFonts w:cs="Times New Roman" w:ascii="Times New Roman" w:hAnsi="Times New Roman"/>
                <w:sz w:val="24"/>
                <w:szCs w:val="24"/>
                <w:lang w:val="en-US" w:eastAsia="en-CA"/>
              </w:rPr>
              <w:tab/>
            </w:r>
            <w:r>
              <w:rPr>
                <w:rStyle w:val="IndexLink"/>
                <w:szCs w:val="22"/>
                <w:lang w:val="en-CA" w:eastAsia="en-CA"/>
              </w:rPr>
              <w:t>Extreme Value Metrics</w:t>
            </w:r>
            <w:r>
              <w:rPr>
                <w:rStyle w:val="IndexLink"/>
                <w:lang w:val="en-CA" w:eastAsia="en-CA"/>
              </w:rPr>
              <w:tab/>
              <w:t>12</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68">
            <w:r>
              <w:rPr>
                <w:rStyle w:val="IndexLink"/>
                <w:sz w:val="20"/>
                <w:szCs w:val="22"/>
                <w:lang w:val="en-CA" w:eastAsia="en-CA"/>
              </w:rPr>
              <w:t>4.1.1.4</w:t>
            </w:r>
            <w:r>
              <w:rPr>
                <w:rStyle w:val="IndexLink"/>
                <w:rFonts w:cs="Times New Roman" w:ascii="Times New Roman" w:hAnsi="Times New Roman"/>
                <w:sz w:val="24"/>
                <w:szCs w:val="24"/>
                <w:lang w:val="en-US" w:eastAsia="en-CA"/>
              </w:rPr>
              <w:tab/>
            </w:r>
            <w:r>
              <w:rPr>
                <w:rStyle w:val="IndexLink"/>
                <w:szCs w:val="22"/>
                <w:lang w:val="en-CA" w:eastAsia="en-CA"/>
              </w:rPr>
              <w:t>Net Open Position and Maturity/Gap Position</w:t>
            </w:r>
            <w:r>
              <w:rPr>
                <w:rStyle w:val="IndexLink"/>
                <w:lang w:val="en-CA" w:eastAsia="en-CA"/>
              </w:rPr>
              <w:tab/>
              <w:t>12</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69">
            <w:r>
              <w:rPr>
                <w:rStyle w:val="IndexLink"/>
                <w:sz w:val="20"/>
                <w:szCs w:val="22"/>
                <w:lang w:val="en-CA" w:eastAsia="en-CA"/>
              </w:rPr>
              <w:t>4.1.1.5</w:t>
            </w:r>
            <w:r>
              <w:rPr>
                <w:rStyle w:val="IndexLink"/>
                <w:rFonts w:cs="Times New Roman" w:ascii="Times New Roman" w:hAnsi="Times New Roman"/>
                <w:sz w:val="24"/>
                <w:szCs w:val="24"/>
                <w:lang w:val="en-US" w:eastAsia="en-CA"/>
              </w:rPr>
              <w:tab/>
            </w:r>
            <w:r>
              <w:rPr>
                <w:rStyle w:val="IndexLink"/>
                <w:szCs w:val="22"/>
                <w:lang w:val="en-CA" w:eastAsia="en-CA"/>
              </w:rPr>
              <w:t>Earnings at Risk (EaR)</w:t>
            </w:r>
            <w:r>
              <w:rPr>
                <w:rStyle w:val="IndexLink"/>
                <w:lang w:val="en-CA" w:eastAsia="en-CA"/>
              </w:rPr>
              <w:tab/>
              <w:t>12</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70">
            <w:r>
              <w:rPr>
                <w:rStyle w:val="IndexLink"/>
                <w:lang w:val="en-CA" w:eastAsia="en-CA"/>
              </w:rPr>
              <w:t>4.1.2</w:t>
            </w:r>
            <w:r>
              <w:rPr>
                <w:rStyle w:val="IndexLink"/>
                <w:rFonts w:cs="Times New Roman" w:ascii="Times New Roman" w:hAnsi="Times New Roman"/>
                <w:sz w:val="24"/>
                <w:szCs w:val="24"/>
                <w:lang w:val="en-US" w:eastAsia="en-CA"/>
              </w:rPr>
              <w:tab/>
            </w:r>
            <w:r>
              <w:rPr>
                <w:rStyle w:val="IndexLink"/>
                <w:lang w:val="en-CA" w:eastAsia="en-CA"/>
              </w:rPr>
              <w:t>Limit Structure for Market Risks</w:t>
              <w:tab/>
              <w:t>12</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1">
            <w:r>
              <w:rPr>
                <w:rStyle w:val="IndexLink"/>
                <w:sz w:val="20"/>
                <w:szCs w:val="22"/>
                <w:lang w:val="en-CA" w:eastAsia="en-CA"/>
              </w:rPr>
              <w:t>4.1.2.1</w:t>
            </w:r>
            <w:r>
              <w:rPr>
                <w:rStyle w:val="IndexLink"/>
                <w:rFonts w:cs="Times New Roman" w:ascii="Times New Roman" w:hAnsi="Times New Roman"/>
                <w:sz w:val="24"/>
                <w:szCs w:val="24"/>
                <w:lang w:val="en-US" w:eastAsia="en-CA"/>
              </w:rPr>
              <w:tab/>
            </w:r>
            <w:r>
              <w:rPr>
                <w:rStyle w:val="IndexLink"/>
                <w:szCs w:val="22"/>
                <w:lang w:val="en-CA" w:eastAsia="en-CA"/>
              </w:rPr>
              <w:t>Market Risk Limits for the Trading Portfolio</w:t>
            </w:r>
            <w:r>
              <w:rPr>
                <w:rStyle w:val="IndexLink"/>
                <w:lang w:val="en-CA" w:eastAsia="en-CA"/>
              </w:rPr>
              <w:tab/>
              <w:t>13</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2">
            <w:r>
              <w:rPr>
                <w:rStyle w:val="IndexLink"/>
                <w:sz w:val="20"/>
                <w:szCs w:val="22"/>
                <w:lang w:val="en-CA" w:eastAsia="en-CA"/>
              </w:rPr>
              <w:t>4.1.2.2</w:t>
            </w:r>
            <w:r>
              <w:rPr>
                <w:rStyle w:val="IndexLink"/>
                <w:rFonts w:cs="Times New Roman" w:ascii="Times New Roman" w:hAnsi="Times New Roman"/>
                <w:sz w:val="24"/>
                <w:szCs w:val="24"/>
                <w:lang w:val="en-US" w:eastAsia="en-CA"/>
              </w:rPr>
              <w:tab/>
            </w:r>
            <w:r>
              <w:rPr>
                <w:rStyle w:val="IndexLink"/>
                <w:szCs w:val="22"/>
                <w:lang w:val="en-CA" w:eastAsia="en-CA"/>
              </w:rPr>
              <w:t>Market Risk Limits for the Capital Portfolio</w:t>
            </w:r>
            <w:r>
              <w:rPr>
                <w:rStyle w:val="IndexLink"/>
                <w:lang w:val="en-CA" w:eastAsia="en-CA"/>
              </w:rPr>
              <w:tab/>
              <w:t>15</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3">
            <w:r>
              <w:rPr>
                <w:rStyle w:val="IndexLink"/>
                <w:sz w:val="20"/>
                <w:szCs w:val="22"/>
                <w:lang w:val="en-CA" w:eastAsia="en-CA"/>
              </w:rPr>
              <w:t>4.1.2.3</w:t>
            </w:r>
            <w:r>
              <w:rPr>
                <w:rStyle w:val="IndexLink"/>
                <w:rFonts w:cs="Times New Roman" w:ascii="Times New Roman" w:hAnsi="Times New Roman"/>
                <w:sz w:val="24"/>
                <w:szCs w:val="24"/>
                <w:lang w:val="en-US" w:eastAsia="en-CA"/>
              </w:rPr>
              <w:tab/>
            </w:r>
            <w:r>
              <w:rPr>
                <w:rStyle w:val="IndexLink"/>
                <w:szCs w:val="22"/>
                <w:lang w:val="en-CA" w:eastAsia="en-CA"/>
              </w:rPr>
              <w:t>Market Risk Limit Structure for Other Portfolios</w:t>
            </w:r>
            <w:r>
              <w:rPr>
                <w:rStyle w:val="IndexLink"/>
                <w:lang w:val="en-CA" w:eastAsia="en-CA"/>
              </w:rPr>
              <w:tab/>
              <w:t>15</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74">
            <w:r>
              <w:rPr>
                <w:rStyle w:val="IndexLink"/>
                <w:lang w:val="en-CA" w:eastAsia="en-CA"/>
              </w:rPr>
              <w:t>4.1.3</w:t>
            </w:r>
            <w:r>
              <w:rPr>
                <w:rStyle w:val="IndexLink"/>
                <w:rFonts w:cs="Times New Roman" w:ascii="Times New Roman" w:hAnsi="Times New Roman"/>
                <w:sz w:val="24"/>
                <w:szCs w:val="24"/>
                <w:lang w:val="en-US" w:eastAsia="en-CA"/>
              </w:rPr>
              <w:tab/>
            </w:r>
            <w:r>
              <w:rPr>
                <w:rStyle w:val="IndexLink"/>
                <w:lang w:val="en-CA" w:eastAsia="en-CA"/>
              </w:rPr>
              <w:t>Administration and Reporting of Market Risks</w:t>
              <w:tab/>
              <w:t>15</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5">
            <w:r>
              <w:rPr>
                <w:rStyle w:val="IndexLink"/>
                <w:sz w:val="20"/>
                <w:szCs w:val="22"/>
                <w:lang w:val="en-CA" w:eastAsia="en-CA"/>
              </w:rPr>
              <w:t>4.1.3.1</w:t>
            </w:r>
            <w:r>
              <w:rPr>
                <w:rStyle w:val="IndexLink"/>
                <w:rFonts w:cs="Times New Roman" w:ascii="Times New Roman" w:hAnsi="Times New Roman"/>
                <w:sz w:val="24"/>
                <w:szCs w:val="24"/>
                <w:lang w:val="en-US" w:eastAsia="en-CA"/>
              </w:rPr>
              <w:tab/>
            </w:r>
            <w:r>
              <w:rPr>
                <w:rStyle w:val="IndexLink"/>
                <w:szCs w:val="22"/>
                <w:lang w:val="en-CA" w:eastAsia="en-CA"/>
              </w:rPr>
              <w:t>Position Authorization and Policy Modifications</w:t>
            </w:r>
            <w:r>
              <w:rPr>
                <w:rStyle w:val="IndexLink"/>
                <w:lang w:val="en-CA" w:eastAsia="en-CA"/>
              </w:rPr>
              <w:tab/>
              <w:t>15</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6">
            <w:r>
              <w:rPr>
                <w:rStyle w:val="IndexLink"/>
                <w:sz w:val="20"/>
                <w:szCs w:val="22"/>
                <w:lang w:val="en-CA" w:eastAsia="en-CA"/>
              </w:rPr>
              <w:t>4.1.3.2</w:t>
            </w:r>
            <w:r>
              <w:rPr>
                <w:rStyle w:val="IndexLink"/>
                <w:rFonts w:cs="Times New Roman" w:ascii="Times New Roman" w:hAnsi="Times New Roman"/>
                <w:sz w:val="24"/>
                <w:szCs w:val="24"/>
                <w:lang w:val="en-US" w:eastAsia="en-CA"/>
              </w:rPr>
              <w:tab/>
            </w:r>
            <w:r>
              <w:rPr>
                <w:rStyle w:val="IndexLink"/>
                <w:szCs w:val="22"/>
                <w:lang w:val="en-CA" w:eastAsia="en-CA"/>
              </w:rPr>
              <w:t>Position Reporting.</w:t>
            </w:r>
            <w:r>
              <w:rPr>
                <w:rStyle w:val="IndexLink"/>
                <w:lang w:val="en-CA" w:eastAsia="en-CA"/>
              </w:rPr>
              <w:tab/>
              <w:t>17</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77">
            <w:r>
              <w:rPr>
                <w:rStyle w:val="IndexLink"/>
                <w:sz w:val="20"/>
                <w:szCs w:val="22"/>
                <w:lang w:val="en-CA" w:eastAsia="en-CA"/>
              </w:rPr>
              <w:t>4.1.3.3</w:t>
            </w:r>
            <w:r>
              <w:rPr>
                <w:rStyle w:val="IndexLink"/>
                <w:rFonts w:cs="Times New Roman" w:ascii="Times New Roman" w:hAnsi="Times New Roman"/>
                <w:sz w:val="24"/>
                <w:szCs w:val="24"/>
                <w:lang w:val="en-US" w:eastAsia="en-CA"/>
              </w:rPr>
              <w:tab/>
            </w:r>
            <w:r>
              <w:rPr>
                <w:rStyle w:val="IndexLink"/>
                <w:szCs w:val="22"/>
                <w:lang w:val="en-CA" w:eastAsia="en-CA"/>
              </w:rPr>
              <w:t>Limit Violation and Loss Notification Requirements</w:t>
            </w:r>
            <w:r>
              <w:rPr>
                <w:rStyle w:val="IndexLink"/>
                <w:lang w:val="en-CA" w:eastAsia="en-CA"/>
              </w:rPr>
              <w:tab/>
              <w:t>18</w:t>
            </w:r>
          </w:hyperlink>
        </w:p>
        <w:p>
          <w:pPr>
            <w:pStyle w:val="TOC2"/>
            <w:rPr>
              <w:rFonts w:ascii="Times New Roman" w:hAnsi="Times New Roman" w:cs="Times New Roman"/>
              <w:caps w:val="false"/>
              <w:smallCaps w:val="false"/>
              <w:szCs w:val="24"/>
              <w:lang w:val="en-US" w:eastAsia="en-CA"/>
            </w:rPr>
          </w:pPr>
          <w:hyperlink w:anchor="__RefHeading___Toc516910278">
            <w:r>
              <w:rPr>
                <w:rStyle w:val="IndexLink"/>
              </w:rPr>
              <w:t>4.2</w:t>
            </w:r>
            <w:r>
              <w:rPr>
                <w:rStyle w:val="IndexLink"/>
                <w:rFonts w:cs="Times New Roman" w:ascii="Times New Roman" w:hAnsi="Times New Roman"/>
                <w:caps w:val="false"/>
                <w:smallCaps w:val="false"/>
                <w:szCs w:val="24"/>
                <w:lang w:val="en-US" w:eastAsia="en-CA"/>
              </w:rPr>
              <w:tab/>
            </w:r>
            <w:r>
              <w:rPr>
                <w:rStyle w:val="IndexLink"/>
              </w:rPr>
              <w:t>Capital Associated with Credit Risk</w:t>
              <w:tab/>
              <w:t>21</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79">
            <w:r>
              <w:rPr>
                <w:rStyle w:val="IndexLink"/>
                <w:lang w:val="en-CA" w:eastAsia="en-CA"/>
              </w:rPr>
              <w:t>4.2.1</w:t>
            </w:r>
            <w:r>
              <w:rPr>
                <w:rStyle w:val="IndexLink"/>
                <w:rFonts w:cs="Times New Roman" w:ascii="Times New Roman" w:hAnsi="Times New Roman"/>
                <w:sz w:val="24"/>
                <w:szCs w:val="24"/>
                <w:lang w:val="en-US" w:eastAsia="en-CA"/>
              </w:rPr>
              <w:tab/>
            </w:r>
            <w:r>
              <w:rPr>
                <w:rStyle w:val="IndexLink"/>
                <w:lang w:val="en-CA" w:eastAsia="en-CA"/>
              </w:rPr>
              <w:t>Risk Measurement for Credit Risks</w:t>
              <w:tab/>
              <w:t>21</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80">
            <w:r>
              <w:rPr>
                <w:rStyle w:val="IndexLink"/>
                <w:lang w:val="en-CA" w:eastAsia="en-CA"/>
              </w:rPr>
              <w:t>4.2.2</w:t>
            </w:r>
            <w:r>
              <w:rPr>
                <w:rStyle w:val="IndexLink"/>
                <w:rFonts w:cs="Times New Roman" w:ascii="Times New Roman" w:hAnsi="Times New Roman"/>
                <w:sz w:val="24"/>
                <w:szCs w:val="24"/>
                <w:lang w:val="en-US" w:eastAsia="en-CA"/>
              </w:rPr>
              <w:tab/>
            </w:r>
            <w:r>
              <w:rPr>
                <w:rStyle w:val="IndexLink"/>
                <w:lang w:val="en-CA" w:eastAsia="en-CA"/>
              </w:rPr>
              <w:t>Limit Structure for Credit Risks</w:t>
              <w:tab/>
              <w:t>21</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81">
            <w:r>
              <w:rPr>
                <w:rStyle w:val="IndexLink"/>
                <w:lang w:val="en-CA" w:eastAsia="en-CA"/>
              </w:rPr>
              <w:t>4.2.3</w:t>
            </w:r>
            <w:r>
              <w:rPr>
                <w:rStyle w:val="IndexLink"/>
                <w:rFonts w:cs="Times New Roman" w:ascii="Times New Roman" w:hAnsi="Times New Roman"/>
                <w:sz w:val="24"/>
                <w:szCs w:val="24"/>
                <w:lang w:val="en-US" w:eastAsia="en-CA"/>
              </w:rPr>
              <w:tab/>
            </w:r>
            <w:r>
              <w:rPr>
                <w:rStyle w:val="IndexLink"/>
                <w:lang w:val="en-CA" w:eastAsia="en-CA"/>
              </w:rPr>
              <w:t>Administration and Reporting for Credit Risks</w:t>
              <w:tab/>
              <w:t>21</w:t>
            </w:r>
          </w:hyperlink>
        </w:p>
        <w:p>
          <w:pPr>
            <w:pStyle w:val="TOC2"/>
            <w:rPr>
              <w:rFonts w:ascii="Times New Roman" w:hAnsi="Times New Roman" w:cs="Times New Roman"/>
              <w:caps w:val="false"/>
              <w:smallCaps w:val="false"/>
              <w:szCs w:val="24"/>
              <w:lang w:val="en-US" w:eastAsia="en-CA"/>
            </w:rPr>
          </w:pPr>
          <w:hyperlink w:anchor="__RefHeading___Toc516910282">
            <w:r>
              <w:rPr>
                <w:rStyle w:val="IndexLink"/>
              </w:rPr>
              <w:t>4.3</w:t>
            </w:r>
            <w:r>
              <w:rPr>
                <w:rStyle w:val="IndexLink"/>
                <w:rFonts w:cs="Times New Roman" w:ascii="Times New Roman" w:hAnsi="Times New Roman"/>
                <w:caps w:val="false"/>
                <w:smallCaps w:val="false"/>
                <w:szCs w:val="24"/>
                <w:lang w:val="en-US" w:eastAsia="en-CA"/>
              </w:rPr>
              <w:tab/>
            </w:r>
            <w:r>
              <w:rPr>
                <w:rStyle w:val="IndexLink"/>
              </w:rPr>
              <w:t>Capital Associated with Operational Risk</w:t>
              <w:tab/>
              <w:t>21</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83">
            <w:r>
              <w:rPr>
                <w:rStyle w:val="IndexLink"/>
                <w:lang w:val="en-CA" w:eastAsia="en-CA"/>
              </w:rPr>
              <w:t>4.3.1</w:t>
            </w:r>
            <w:r>
              <w:rPr>
                <w:rStyle w:val="IndexLink"/>
                <w:rFonts w:cs="Times New Roman" w:ascii="Times New Roman" w:hAnsi="Times New Roman"/>
                <w:sz w:val="24"/>
                <w:szCs w:val="24"/>
                <w:lang w:val="en-US" w:eastAsia="en-CA"/>
              </w:rPr>
              <w:tab/>
            </w:r>
            <w:r>
              <w:rPr>
                <w:rStyle w:val="IndexLink"/>
                <w:lang w:val="en-CA" w:eastAsia="en-CA"/>
              </w:rPr>
              <w:t>Risk Measurement for Operational Risks</w:t>
              <w:tab/>
              <w:t>21</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84">
            <w:r>
              <w:rPr>
                <w:rStyle w:val="IndexLink"/>
                <w:sz w:val="20"/>
                <w:szCs w:val="22"/>
                <w:lang w:val="en-CA" w:eastAsia="en-CA"/>
              </w:rPr>
              <w:t>4.3.1.1</w:t>
            </w:r>
            <w:r>
              <w:rPr>
                <w:rStyle w:val="IndexLink"/>
                <w:rFonts w:cs="Times New Roman" w:ascii="Times New Roman" w:hAnsi="Times New Roman"/>
                <w:sz w:val="24"/>
                <w:szCs w:val="24"/>
                <w:lang w:val="en-US" w:eastAsia="en-CA"/>
              </w:rPr>
              <w:tab/>
            </w:r>
            <w:r>
              <w:rPr>
                <w:rStyle w:val="IndexLink"/>
                <w:szCs w:val="22"/>
                <w:lang w:val="en-CA" w:eastAsia="en-CA"/>
              </w:rPr>
              <w:t>Fundamental Operating Standards and Segregation of Duties</w:t>
            </w:r>
            <w:r>
              <w:rPr>
                <w:rStyle w:val="IndexLink"/>
                <w:lang w:val="en-CA" w:eastAsia="en-CA"/>
              </w:rPr>
              <w:tab/>
              <w:t>21</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85">
            <w:r>
              <w:rPr>
                <w:rStyle w:val="IndexLink"/>
                <w:sz w:val="20"/>
                <w:szCs w:val="22"/>
                <w:lang w:val="en-CA" w:eastAsia="en-CA"/>
              </w:rPr>
              <w:t>4.3.1.2</w:t>
            </w:r>
            <w:r>
              <w:rPr>
                <w:rStyle w:val="IndexLink"/>
                <w:rFonts w:cs="Times New Roman" w:ascii="Times New Roman" w:hAnsi="Times New Roman"/>
                <w:sz w:val="24"/>
                <w:szCs w:val="24"/>
                <w:lang w:val="en-US" w:eastAsia="en-CA"/>
              </w:rPr>
              <w:tab/>
            </w:r>
            <w:r>
              <w:rPr>
                <w:rStyle w:val="IndexLink"/>
                <w:szCs w:val="22"/>
                <w:lang w:val="en-CA" w:eastAsia="en-CA"/>
              </w:rPr>
              <w:t>Code of Ethics</w:t>
            </w:r>
            <w:r>
              <w:rPr>
                <w:rStyle w:val="IndexLink"/>
                <w:lang w:val="en-CA" w:eastAsia="en-CA"/>
              </w:rPr>
              <w:tab/>
              <w:t>22</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86">
            <w:r>
              <w:rPr>
                <w:rStyle w:val="IndexLink"/>
                <w:sz w:val="20"/>
                <w:szCs w:val="22"/>
                <w:lang w:val="en-CA" w:eastAsia="en-CA"/>
              </w:rPr>
              <w:t>4.3.1.3</w:t>
            </w:r>
            <w:r>
              <w:rPr>
                <w:rStyle w:val="IndexLink"/>
                <w:rFonts w:cs="Times New Roman" w:ascii="Times New Roman" w:hAnsi="Times New Roman"/>
                <w:sz w:val="24"/>
                <w:szCs w:val="24"/>
                <w:lang w:val="en-US" w:eastAsia="en-CA"/>
              </w:rPr>
              <w:tab/>
            </w:r>
            <w:r>
              <w:rPr>
                <w:rStyle w:val="IndexLink"/>
                <w:szCs w:val="22"/>
                <w:lang w:val="en-CA" w:eastAsia="en-CA"/>
              </w:rPr>
              <w:t>Self-Assessment</w:t>
            </w:r>
            <w:r>
              <w:rPr>
                <w:rStyle w:val="IndexLink"/>
                <w:lang w:val="en-CA" w:eastAsia="en-CA"/>
              </w:rPr>
              <w:tab/>
              <w:t>22</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87">
            <w:r>
              <w:rPr>
                <w:rStyle w:val="IndexLink"/>
                <w:sz w:val="20"/>
                <w:szCs w:val="22"/>
                <w:lang w:val="en-CA" w:eastAsia="en-CA"/>
              </w:rPr>
              <w:t>4.3.1.4</w:t>
            </w:r>
            <w:r>
              <w:rPr>
                <w:rStyle w:val="IndexLink"/>
                <w:rFonts w:cs="Times New Roman" w:ascii="Times New Roman" w:hAnsi="Times New Roman"/>
                <w:sz w:val="24"/>
                <w:szCs w:val="24"/>
                <w:lang w:val="en-US" w:eastAsia="en-CA"/>
              </w:rPr>
              <w:tab/>
            </w:r>
            <w:r>
              <w:rPr>
                <w:rStyle w:val="IndexLink"/>
                <w:szCs w:val="22"/>
                <w:lang w:val="en-CA" w:eastAsia="en-CA"/>
              </w:rPr>
              <w:t>Information Systems Support and Business Continuity Planning</w:t>
            </w:r>
            <w:r>
              <w:rPr>
                <w:rStyle w:val="IndexLink"/>
                <w:lang w:val="en-CA" w:eastAsia="en-CA"/>
              </w:rPr>
              <w:tab/>
              <w:t>23</w:t>
            </w:r>
          </w:hyperlink>
        </w:p>
        <w:p>
          <w:pPr>
            <w:pStyle w:val="TOC4"/>
            <w:tabs>
              <w:tab w:val="clear" w:pos="720"/>
              <w:tab w:val="left" w:pos="1600" w:leader="none"/>
              <w:tab w:val="right" w:pos="8630" w:leader="dot"/>
            </w:tabs>
            <w:rPr>
              <w:rFonts w:ascii="Times New Roman" w:hAnsi="Times New Roman" w:cs="Times New Roman"/>
              <w:sz w:val="24"/>
              <w:szCs w:val="24"/>
              <w:lang w:val="en-US" w:eastAsia="en-CA"/>
            </w:rPr>
          </w:pPr>
          <w:hyperlink w:anchor="__RefHeading___Toc516910288">
            <w:r>
              <w:rPr>
                <w:rStyle w:val="IndexLink"/>
                <w:sz w:val="20"/>
                <w:szCs w:val="22"/>
                <w:lang w:val="en-CA" w:eastAsia="en-CA"/>
              </w:rPr>
              <w:t>4.3.1.5</w:t>
            </w:r>
            <w:r>
              <w:rPr>
                <w:rStyle w:val="IndexLink"/>
                <w:rFonts w:cs="Times New Roman" w:ascii="Times New Roman" w:hAnsi="Times New Roman"/>
                <w:sz w:val="24"/>
                <w:szCs w:val="24"/>
                <w:lang w:val="en-US" w:eastAsia="en-CA"/>
              </w:rPr>
              <w:tab/>
            </w:r>
            <w:r>
              <w:rPr>
                <w:rStyle w:val="IndexLink"/>
                <w:szCs w:val="22"/>
                <w:lang w:val="en-CA" w:eastAsia="en-CA"/>
              </w:rPr>
              <w:t>Deal Oversight</w:t>
            </w:r>
            <w:r>
              <w:rPr>
                <w:rStyle w:val="IndexLink"/>
                <w:lang w:val="en-CA" w:eastAsia="en-CA"/>
              </w:rPr>
              <w:tab/>
              <w:t>23</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89">
            <w:r>
              <w:rPr>
                <w:rStyle w:val="IndexLink"/>
                <w:lang w:val="en-CA" w:eastAsia="en-CA"/>
              </w:rPr>
              <w:t>4.3.2</w:t>
            </w:r>
            <w:r>
              <w:rPr>
                <w:rStyle w:val="IndexLink"/>
                <w:rFonts w:cs="Times New Roman" w:ascii="Times New Roman" w:hAnsi="Times New Roman"/>
                <w:sz w:val="24"/>
                <w:szCs w:val="24"/>
                <w:lang w:val="en-US" w:eastAsia="en-CA"/>
              </w:rPr>
              <w:tab/>
            </w:r>
            <w:r>
              <w:rPr>
                <w:rStyle w:val="IndexLink"/>
                <w:lang w:val="en-CA" w:eastAsia="en-CA"/>
              </w:rPr>
              <w:t>Limit Structure for Operational Risk</w:t>
              <w:tab/>
              <w:t>23</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90">
            <w:r>
              <w:rPr>
                <w:rStyle w:val="IndexLink"/>
                <w:lang w:val="en-CA" w:eastAsia="en-CA"/>
              </w:rPr>
              <w:t>4.3.3</w:t>
            </w:r>
            <w:r>
              <w:rPr>
                <w:rStyle w:val="IndexLink"/>
                <w:rFonts w:cs="Times New Roman" w:ascii="Times New Roman" w:hAnsi="Times New Roman"/>
                <w:sz w:val="24"/>
                <w:szCs w:val="24"/>
                <w:lang w:val="en-US" w:eastAsia="en-CA"/>
              </w:rPr>
              <w:tab/>
            </w:r>
            <w:r>
              <w:rPr>
                <w:rStyle w:val="IndexLink"/>
                <w:lang w:val="en-CA" w:eastAsia="en-CA"/>
              </w:rPr>
              <w:t>Administration and Reporting for Operational Risks</w:t>
              <w:tab/>
              <w:t>23</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91">
            <w:r>
              <w:rPr>
                <w:rStyle w:val="IndexLink"/>
                <w:szCs w:val="28"/>
              </w:rPr>
              <w:t>5</w:t>
            </w:r>
            <w:r>
              <w:rPr>
                <w:rStyle w:val="IndexLink"/>
                <w:rFonts w:cs="Times New Roman" w:ascii="Times New Roman" w:hAnsi="Times New Roman"/>
                <w:b w:val="false"/>
                <w:caps w:val="false"/>
                <w:smallCaps w:val="false"/>
                <w:sz w:val="24"/>
                <w:szCs w:val="24"/>
                <w:lang w:val="en-US" w:eastAsia="en-CA"/>
              </w:rPr>
              <w:tab/>
            </w:r>
            <w:r>
              <w:rPr>
                <w:rStyle w:val="IndexLink"/>
                <w:szCs w:val="28"/>
              </w:rPr>
              <w:t>Requests for Allocation of Risk Capital</w:t>
            </w:r>
            <w:r>
              <w:rPr>
                <w:rStyle w:val="IndexLink"/>
              </w:rPr>
              <w:tab/>
              <w:t>24</w:t>
            </w:r>
          </w:hyperlink>
        </w:p>
        <w:p>
          <w:pPr>
            <w:pStyle w:val="TOC2"/>
            <w:rPr>
              <w:rFonts w:ascii="Times New Roman" w:hAnsi="Times New Roman" w:cs="Times New Roman"/>
              <w:caps w:val="false"/>
              <w:smallCaps w:val="false"/>
              <w:szCs w:val="24"/>
              <w:lang w:val="en-US" w:eastAsia="en-CA"/>
            </w:rPr>
          </w:pPr>
          <w:hyperlink w:anchor="__RefHeading___Toc516910292">
            <w:r>
              <w:rPr>
                <w:rStyle w:val="IndexLink"/>
              </w:rPr>
              <w:t>5.1</w:t>
            </w:r>
            <w:r>
              <w:rPr>
                <w:rStyle w:val="IndexLink"/>
                <w:rFonts w:cs="Times New Roman" w:ascii="Times New Roman" w:hAnsi="Times New Roman"/>
                <w:caps w:val="false"/>
                <w:smallCaps w:val="false"/>
                <w:szCs w:val="24"/>
                <w:lang w:val="en-US" w:eastAsia="en-CA"/>
              </w:rPr>
              <w:tab/>
            </w:r>
            <w:r>
              <w:rPr>
                <w:rStyle w:val="IndexLink"/>
              </w:rPr>
              <w:t>Portfolio Risk Capital</w:t>
              <w:tab/>
              <w:t>24</w:t>
            </w:r>
          </w:hyperlink>
        </w:p>
        <w:p>
          <w:pPr>
            <w:pStyle w:val="TOC2"/>
            <w:rPr>
              <w:rFonts w:ascii="Times New Roman" w:hAnsi="Times New Roman" w:cs="Times New Roman"/>
              <w:caps w:val="false"/>
              <w:smallCaps w:val="false"/>
              <w:szCs w:val="24"/>
              <w:lang w:val="en-US" w:eastAsia="en-CA"/>
            </w:rPr>
          </w:pPr>
          <w:hyperlink w:anchor="__RefHeading___Toc516910293">
            <w:r>
              <w:rPr>
                <w:rStyle w:val="IndexLink"/>
              </w:rPr>
              <w:t>5.2</w:t>
            </w:r>
            <w:r>
              <w:rPr>
                <w:rStyle w:val="IndexLink"/>
                <w:rFonts w:cs="Times New Roman" w:ascii="Times New Roman" w:hAnsi="Times New Roman"/>
                <w:caps w:val="false"/>
                <w:smallCaps w:val="false"/>
                <w:szCs w:val="24"/>
                <w:lang w:val="en-US" w:eastAsia="en-CA"/>
              </w:rPr>
              <w:tab/>
            </w:r>
            <w:r>
              <w:rPr>
                <w:rStyle w:val="IndexLink"/>
              </w:rPr>
              <w:t>Transaction Specific Risk Capital</w:t>
              <w:tab/>
              <w:t>24</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94">
            <w:r>
              <w:rPr>
                <w:rStyle w:val="IndexLink"/>
                <w:szCs w:val="28"/>
              </w:rPr>
              <w:t>6</w:t>
            </w:r>
            <w:r>
              <w:rPr>
                <w:rStyle w:val="IndexLink"/>
                <w:rFonts w:cs="Times New Roman" w:ascii="Times New Roman" w:hAnsi="Times New Roman"/>
                <w:b w:val="false"/>
                <w:caps w:val="false"/>
                <w:smallCaps w:val="false"/>
                <w:sz w:val="24"/>
                <w:szCs w:val="24"/>
                <w:lang w:val="en-US" w:eastAsia="en-CA"/>
              </w:rPr>
              <w:tab/>
            </w:r>
            <w:r>
              <w:rPr>
                <w:rStyle w:val="IndexLink"/>
                <w:szCs w:val="28"/>
              </w:rPr>
              <w:t>Funds Management</w:t>
            </w:r>
            <w:r>
              <w:rPr>
                <w:rStyle w:val="IndexLink"/>
              </w:rPr>
              <w:tab/>
              <w:t>24</w:t>
            </w:r>
          </w:hyperlink>
        </w:p>
        <w:p>
          <w:pPr>
            <w:pStyle w:val="TOC2"/>
            <w:rPr>
              <w:rFonts w:ascii="Times New Roman" w:hAnsi="Times New Roman" w:cs="Times New Roman"/>
              <w:caps w:val="false"/>
              <w:smallCaps w:val="false"/>
              <w:szCs w:val="24"/>
              <w:lang w:val="en-US" w:eastAsia="en-CA"/>
            </w:rPr>
          </w:pPr>
          <w:hyperlink w:anchor="__RefHeading___Toc516910295">
            <w:r>
              <w:rPr>
                <w:rStyle w:val="IndexLink"/>
              </w:rPr>
              <w:t>6.1</w:t>
            </w:r>
            <w:r>
              <w:rPr>
                <w:rStyle w:val="IndexLink"/>
                <w:rFonts w:cs="Times New Roman" w:ascii="Times New Roman" w:hAnsi="Times New Roman"/>
                <w:caps w:val="false"/>
                <w:smallCaps w:val="false"/>
                <w:szCs w:val="24"/>
                <w:lang w:val="en-US" w:eastAsia="en-CA"/>
              </w:rPr>
              <w:tab/>
            </w:r>
            <w:r>
              <w:rPr>
                <w:rStyle w:val="IndexLink"/>
              </w:rPr>
              <w:t>Brokerage Accounts Administration</w:t>
              <w:tab/>
              <w:t>25</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96">
            <w:r>
              <w:rPr>
                <w:rStyle w:val="IndexLink"/>
                <w:lang w:val="en-CA" w:eastAsia="en-CA"/>
              </w:rPr>
              <w:t>6.1.1</w:t>
            </w:r>
            <w:r>
              <w:rPr>
                <w:rStyle w:val="IndexLink"/>
                <w:rFonts w:cs="Times New Roman" w:ascii="Times New Roman" w:hAnsi="Times New Roman"/>
                <w:sz w:val="24"/>
                <w:szCs w:val="24"/>
                <w:lang w:val="en-US" w:eastAsia="en-CA"/>
              </w:rPr>
              <w:tab/>
            </w:r>
            <w:r>
              <w:rPr>
                <w:rStyle w:val="IndexLink"/>
                <w:lang w:val="en-CA" w:eastAsia="en-CA"/>
              </w:rPr>
              <w:t>Brokerage Accounts</w:t>
              <w:tab/>
              <w:t>25</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297">
            <w:r>
              <w:rPr>
                <w:rStyle w:val="IndexLink"/>
                <w:szCs w:val="28"/>
              </w:rPr>
              <w:t>7</w:t>
            </w:r>
            <w:r>
              <w:rPr>
                <w:rStyle w:val="IndexLink"/>
                <w:rFonts w:cs="Times New Roman" w:ascii="Times New Roman" w:hAnsi="Times New Roman"/>
                <w:b w:val="false"/>
                <w:caps w:val="false"/>
                <w:smallCaps w:val="false"/>
                <w:sz w:val="24"/>
                <w:szCs w:val="24"/>
                <w:lang w:val="en-US" w:eastAsia="en-CA"/>
              </w:rPr>
              <w:tab/>
            </w:r>
            <w:r>
              <w:rPr>
                <w:rStyle w:val="IndexLink"/>
                <w:szCs w:val="28"/>
              </w:rPr>
              <w:t>Roles and Responsibilities</w:t>
            </w:r>
            <w:r>
              <w:rPr>
                <w:rStyle w:val="IndexLink"/>
              </w:rPr>
              <w:tab/>
              <w:t>25</w:t>
            </w:r>
          </w:hyperlink>
        </w:p>
        <w:p>
          <w:pPr>
            <w:pStyle w:val="TOC2"/>
            <w:rPr>
              <w:rFonts w:ascii="Times New Roman" w:hAnsi="Times New Roman" w:cs="Times New Roman"/>
              <w:caps w:val="false"/>
              <w:smallCaps w:val="false"/>
              <w:szCs w:val="24"/>
              <w:lang w:val="en-US" w:eastAsia="en-CA"/>
            </w:rPr>
          </w:pPr>
          <w:hyperlink w:anchor="__RefHeading___Toc516910298">
            <w:r>
              <w:rPr>
                <w:rStyle w:val="IndexLink"/>
                <w:lang w:val="en-AU" w:eastAsia="en-CA"/>
              </w:rPr>
              <w:t>7.1</w:t>
            </w:r>
            <w:r>
              <w:rPr>
                <w:rStyle w:val="IndexLink"/>
                <w:rFonts w:cs="Times New Roman" w:ascii="Times New Roman" w:hAnsi="Times New Roman"/>
                <w:caps w:val="false"/>
                <w:smallCaps w:val="false"/>
                <w:szCs w:val="24"/>
                <w:lang w:val="en-US" w:eastAsia="en-CA"/>
              </w:rPr>
              <w:tab/>
            </w:r>
            <w:r>
              <w:rPr>
                <w:rStyle w:val="IndexLink"/>
                <w:lang w:val="en-AU" w:eastAsia="en-CA"/>
              </w:rPr>
              <w:t>Board of Directors</w:t>
            </w:r>
            <w:r>
              <w:rPr>
                <w:rStyle w:val="IndexLink"/>
              </w:rPr>
              <w:tab/>
              <w:t>25</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299">
            <w:r>
              <w:rPr>
                <w:rStyle w:val="IndexLink"/>
                <w:lang w:val="en-CA" w:eastAsia="en-CA"/>
              </w:rPr>
              <w:t>7.1.1</w:t>
            </w:r>
            <w:r>
              <w:rPr>
                <w:rStyle w:val="IndexLink"/>
                <w:rFonts w:cs="Times New Roman" w:ascii="Times New Roman" w:hAnsi="Times New Roman"/>
                <w:sz w:val="24"/>
                <w:szCs w:val="24"/>
                <w:lang w:val="en-US" w:eastAsia="en-CA"/>
              </w:rPr>
              <w:tab/>
            </w:r>
            <w:r>
              <w:rPr>
                <w:rStyle w:val="IndexLink"/>
                <w:lang w:val="en-CA" w:eastAsia="en-CA"/>
              </w:rPr>
              <w:t>Finance Committee of the Board of Directors (Finance Committee)</w:t>
              <w:tab/>
              <w:t>26</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00">
            <w:r>
              <w:rPr>
                <w:rStyle w:val="IndexLink"/>
                <w:lang w:val="en-AU" w:eastAsia="en-CA"/>
              </w:rPr>
              <w:t>7.1.2</w:t>
            </w:r>
            <w:r>
              <w:rPr>
                <w:rStyle w:val="IndexLink"/>
                <w:rFonts w:cs="Times New Roman" w:ascii="Times New Roman" w:hAnsi="Times New Roman"/>
                <w:sz w:val="24"/>
                <w:szCs w:val="24"/>
                <w:lang w:val="en-US" w:eastAsia="en-CA"/>
              </w:rPr>
              <w:tab/>
            </w:r>
            <w:r>
              <w:rPr>
                <w:rStyle w:val="IndexLink"/>
                <w:lang w:val="en-AU" w:eastAsia="en-CA"/>
              </w:rPr>
              <w:t>Audit Committee of the Board of Directors (Audit Committee)</w:t>
            </w:r>
            <w:r>
              <w:rPr>
                <w:rStyle w:val="IndexLink"/>
                <w:lang w:val="en-CA" w:eastAsia="en-CA"/>
              </w:rPr>
              <w:tab/>
              <w:t>26</w:t>
            </w:r>
          </w:hyperlink>
        </w:p>
        <w:p>
          <w:pPr>
            <w:pStyle w:val="TOC2"/>
            <w:rPr>
              <w:rFonts w:ascii="Times New Roman" w:hAnsi="Times New Roman" w:cs="Times New Roman"/>
              <w:caps w:val="false"/>
              <w:smallCaps w:val="false"/>
              <w:szCs w:val="24"/>
              <w:lang w:val="en-US" w:eastAsia="en-CA"/>
            </w:rPr>
          </w:pPr>
          <w:hyperlink w:anchor="__RefHeading___Toc516910301">
            <w:r>
              <w:rPr>
                <w:rStyle w:val="IndexLink"/>
                <w:lang w:val="en-AU" w:eastAsia="en-CA"/>
              </w:rPr>
              <w:t>7.2</w:t>
            </w:r>
            <w:r>
              <w:rPr>
                <w:rStyle w:val="IndexLink"/>
                <w:rFonts w:cs="Times New Roman" w:ascii="Times New Roman" w:hAnsi="Times New Roman"/>
                <w:caps w:val="false"/>
                <w:smallCaps w:val="false"/>
                <w:szCs w:val="24"/>
                <w:lang w:val="en-US" w:eastAsia="en-CA"/>
              </w:rPr>
              <w:tab/>
            </w:r>
            <w:r>
              <w:rPr>
                <w:rStyle w:val="IndexLink"/>
                <w:lang w:val="en-AU" w:eastAsia="en-CA"/>
              </w:rPr>
              <w:t>Enron Corp. Chief Executive Officer (CEO)</w:t>
            </w:r>
            <w:r>
              <w:rPr>
                <w:rStyle w:val="IndexLink"/>
              </w:rPr>
              <w:tab/>
              <w:t>27</w:t>
            </w:r>
          </w:hyperlink>
        </w:p>
        <w:p>
          <w:pPr>
            <w:pStyle w:val="TOC2"/>
            <w:rPr>
              <w:rFonts w:ascii="Times New Roman" w:hAnsi="Times New Roman" w:cs="Times New Roman"/>
              <w:caps w:val="false"/>
              <w:smallCaps w:val="false"/>
              <w:szCs w:val="24"/>
              <w:lang w:val="en-US" w:eastAsia="en-CA"/>
            </w:rPr>
          </w:pPr>
          <w:hyperlink w:anchor="__RefHeading___Toc516910302">
            <w:r>
              <w:rPr>
                <w:rStyle w:val="IndexLink"/>
              </w:rPr>
              <w:t>7.3</w:t>
            </w:r>
            <w:r>
              <w:rPr>
                <w:rStyle w:val="IndexLink"/>
                <w:rFonts w:cs="Times New Roman" w:ascii="Times New Roman" w:hAnsi="Times New Roman"/>
                <w:caps w:val="false"/>
                <w:smallCaps w:val="false"/>
                <w:szCs w:val="24"/>
                <w:lang w:val="en-US" w:eastAsia="en-CA"/>
              </w:rPr>
              <w:tab/>
            </w:r>
            <w:r>
              <w:rPr>
                <w:rStyle w:val="IndexLink"/>
              </w:rPr>
              <w:t>Risk Committee of Senior Management (Risk Committee)</w:t>
              <w:tab/>
              <w:t>27</w:t>
            </w:r>
          </w:hyperlink>
        </w:p>
        <w:p>
          <w:pPr>
            <w:pStyle w:val="TOC2"/>
            <w:rPr>
              <w:rFonts w:ascii="Times New Roman" w:hAnsi="Times New Roman" w:cs="Times New Roman"/>
              <w:caps w:val="false"/>
              <w:smallCaps w:val="false"/>
              <w:szCs w:val="24"/>
              <w:lang w:val="en-US" w:eastAsia="en-CA"/>
            </w:rPr>
          </w:pPr>
          <w:hyperlink w:anchor="__RefHeading___Toc516910303">
            <w:r>
              <w:rPr>
                <w:rStyle w:val="IndexLink"/>
              </w:rPr>
              <w:t>7.4</w:t>
            </w:r>
            <w:r>
              <w:rPr>
                <w:rStyle w:val="IndexLink"/>
                <w:rFonts w:cs="Times New Roman" w:ascii="Times New Roman" w:hAnsi="Times New Roman"/>
                <w:caps w:val="false"/>
                <w:smallCaps w:val="false"/>
                <w:szCs w:val="24"/>
                <w:lang w:val="en-US" w:eastAsia="en-CA"/>
              </w:rPr>
              <w:tab/>
            </w:r>
            <w:r>
              <w:rPr>
                <w:rStyle w:val="IndexLink"/>
              </w:rPr>
              <w:t>Enron Business Units</w:t>
              <w:tab/>
              <w:t>28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04">
            <w:r>
              <w:rPr>
                <w:rStyle w:val="IndexLink"/>
                <w:lang w:val="en-CA" w:eastAsia="en-CA"/>
              </w:rPr>
              <w:t>7.4.1</w:t>
            </w:r>
            <w:r>
              <w:rPr>
                <w:rStyle w:val="IndexLink"/>
                <w:rFonts w:cs="Times New Roman" w:ascii="Times New Roman" w:hAnsi="Times New Roman"/>
                <w:sz w:val="24"/>
                <w:szCs w:val="24"/>
                <w:lang w:val="en-US" w:eastAsia="en-CA"/>
              </w:rPr>
              <w:tab/>
            </w:r>
            <w:r>
              <w:rPr>
                <w:rStyle w:val="IndexLink"/>
                <w:lang w:val="en-CA" w:eastAsia="en-CA"/>
              </w:rPr>
              <w:t>Enron Business Unit Office of the Chairman</w:t>
              <w:tab/>
              <w:t>28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05">
            <w:r>
              <w:rPr>
                <w:rStyle w:val="IndexLink"/>
                <w:lang w:val="en-CA" w:eastAsia="en-CA"/>
              </w:rPr>
              <w:t>7.4.2</w:t>
            </w:r>
            <w:r>
              <w:rPr>
                <w:rStyle w:val="IndexLink"/>
                <w:rFonts w:cs="Times New Roman" w:ascii="Times New Roman" w:hAnsi="Times New Roman"/>
                <w:sz w:val="24"/>
                <w:szCs w:val="24"/>
                <w:lang w:val="en-US" w:eastAsia="en-CA"/>
              </w:rPr>
              <w:tab/>
            </w:r>
            <w:r>
              <w:rPr>
                <w:rStyle w:val="IndexLink"/>
                <w:lang w:val="en-CA" w:eastAsia="en-CA"/>
              </w:rPr>
              <w:t>Authorized Traders</w:t>
              <w:tab/>
              <w:t>28</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06">
            <w:r>
              <w:rPr>
                <w:rStyle w:val="IndexLink"/>
                <w:lang w:val="en-CA" w:eastAsia="en-CA"/>
              </w:rPr>
              <w:t>7.4.3</w:t>
            </w:r>
            <w:r>
              <w:rPr>
                <w:rStyle w:val="IndexLink"/>
                <w:rFonts w:cs="Times New Roman" w:ascii="Times New Roman" w:hAnsi="Times New Roman"/>
                <w:sz w:val="24"/>
                <w:szCs w:val="24"/>
                <w:lang w:val="en-US" w:eastAsia="en-CA"/>
              </w:rPr>
              <w:tab/>
            </w:r>
            <w:r>
              <w:rPr>
                <w:rStyle w:val="IndexLink"/>
                <w:lang w:val="en-CA" w:eastAsia="en-CA"/>
              </w:rPr>
              <w:t>Research</w:t>
              <w:tab/>
              <w:t>29</w:t>
            </w:r>
          </w:hyperlink>
        </w:p>
        <w:p>
          <w:pPr>
            <w:pStyle w:val="TOC2"/>
            <w:rPr>
              <w:rFonts w:ascii="Times New Roman" w:hAnsi="Times New Roman" w:cs="Times New Roman"/>
              <w:caps w:val="false"/>
              <w:smallCaps w:val="false"/>
              <w:szCs w:val="24"/>
              <w:lang w:val="en-US" w:eastAsia="en-CA"/>
            </w:rPr>
          </w:pPr>
          <w:hyperlink w:anchor="__RefHeading___Toc516910307">
            <w:r>
              <w:rPr>
                <w:rStyle w:val="IndexLink"/>
              </w:rPr>
              <w:t>7.5</w:t>
            </w:r>
            <w:r>
              <w:rPr>
                <w:rStyle w:val="IndexLink"/>
                <w:rFonts w:cs="Times New Roman" w:ascii="Times New Roman" w:hAnsi="Times New Roman"/>
                <w:caps w:val="false"/>
                <w:smallCaps w:val="false"/>
                <w:szCs w:val="24"/>
                <w:lang w:val="en-US" w:eastAsia="en-CA"/>
              </w:rPr>
              <w:tab/>
            </w:r>
            <w:r>
              <w:rPr>
                <w:rStyle w:val="IndexLink"/>
              </w:rPr>
              <w:t>Risk Management Operations (RMO)</w:t>
              <w:tab/>
              <w:t>30</w:t>
            </w:r>
          </w:hyperlink>
        </w:p>
        <w:p>
          <w:pPr>
            <w:pStyle w:val="TOC2"/>
            <w:rPr>
              <w:rFonts w:ascii="Times New Roman" w:hAnsi="Times New Roman" w:cs="Times New Roman"/>
              <w:caps w:val="false"/>
              <w:smallCaps w:val="false"/>
              <w:szCs w:val="24"/>
              <w:lang w:val="en-US" w:eastAsia="en-CA"/>
            </w:rPr>
          </w:pPr>
          <w:hyperlink w:anchor="__RefHeading___Toc516910308">
            <w:r>
              <w:rPr>
                <w:rStyle w:val="IndexLink"/>
              </w:rPr>
              <w:t>7.6</w:t>
            </w:r>
            <w:r>
              <w:rPr>
                <w:rStyle w:val="IndexLink"/>
                <w:rFonts w:cs="Times New Roman" w:ascii="Times New Roman" w:hAnsi="Times New Roman"/>
                <w:caps w:val="false"/>
                <w:smallCaps w:val="false"/>
                <w:szCs w:val="24"/>
                <w:lang w:val="en-US" w:eastAsia="en-CA"/>
              </w:rPr>
              <w:tab/>
            </w:r>
            <w:r>
              <w:rPr>
                <w:rStyle w:val="IndexLink"/>
              </w:rPr>
              <w:t>Accounting</w:t>
              <w:tab/>
              <w:t>31</w:t>
            </w:r>
          </w:hyperlink>
        </w:p>
        <w:p>
          <w:pPr>
            <w:pStyle w:val="TOC2"/>
            <w:rPr>
              <w:rFonts w:ascii="Times New Roman" w:hAnsi="Times New Roman" w:cs="Times New Roman"/>
              <w:caps w:val="false"/>
              <w:smallCaps w:val="false"/>
              <w:szCs w:val="24"/>
              <w:lang w:val="en-US" w:eastAsia="en-CA"/>
            </w:rPr>
          </w:pPr>
          <w:hyperlink w:anchor="__RefHeading___Toc516910309">
            <w:r>
              <w:rPr>
                <w:rStyle w:val="IndexLink"/>
              </w:rPr>
              <w:t>7.7</w:t>
            </w:r>
            <w:r>
              <w:rPr>
                <w:rStyle w:val="IndexLink"/>
                <w:rFonts w:cs="Times New Roman" w:ascii="Times New Roman" w:hAnsi="Times New Roman"/>
                <w:caps w:val="false"/>
                <w:smallCaps w:val="false"/>
                <w:szCs w:val="24"/>
                <w:lang w:val="en-US" w:eastAsia="en-CA"/>
              </w:rPr>
              <w:tab/>
            </w:r>
            <w:r>
              <w:rPr>
                <w:rStyle w:val="IndexLink"/>
              </w:rPr>
              <w:t>Legal</w:t>
              <w:tab/>
              <w:t>31</w:t>
            </w:r>
          </w:hyperlink>
        </w:p>
        <w:p>
          <w:pPr>
            <w:pStyle w:val="TOC2"/>
            <w:rPr>
              <w:rFonts w:ascii="Times New Roman" w:hAnsi="Times New Roman" w:cs="Times New Roman"/>
              <w:caps w:val="false"/>
              <w:smallCaps w:val="false"/>
              <w:szCs w:val="24"/>
              <w:lang w:val="en-US" w:eastAsia="en-CA"/>
            </w:rPr>
          </w:pPr>
          <w:hyperlink w:anchor="__RefHeading___Toc516910310">
            <w:r>
              <w:rPr>
                <w:rStyle w:val="IndexLink"/>
              </w:rPr>
              <w:t>7.8</w:t>
            </w:r>
            <w:r>
              <w:rPr>
                <w:rStyle w:val="IndexLink"/>
                <w:rFonts w:cs="Times New Roman" w:ascii="Times New Roman" w:hAnsi="Times New Roman"/>
                <w:caps w:val="false"/>
                <w:smallCaps w:val="false"/>
                <w:szCs w:val="24"/>
                <w:lang w:val="en-US" w:eastAsia="en-CA"/>
              </w:rPr>
              <w:tab/>
            </w:r>
            <w:r>
              <w:rPr>
                <w:rStyle w:val="IndexLink"/>
              </w:rPr>
              <w:t>Enron Corp. Chief Risk Officer (Chief Risk Officer) and Risk Assessment &amp; Control (RAC)</w:t>
              <w:tab/>
              <w:t>31</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11">
            <w:r>
              <w:rPr>
                <w:rStyle w:val="IndexLink"/>
                <w:lang w:val="en-CA" w:eastAsia="en-CA"/>
              </w:rPr>
              <w:t>7.8.1</w:t>
            </w:r>
            <w:r>
              <w:rPr>
                <w:rStyle w:val="IndexLink"/>
                <w:rFonts w:cs="Times New Roman" w:ascii="Times New Roman" w:hAnsi="Times New Roman"/>
                <w:sz w:val="24"/>
                <w:szCs w:val="24"/>
                <w:lang w:val="en-US" w:eastAsia="en-CA"/>
              </w:rPr>
              <w:tab/>
            </w:r>
            <w:r>
              <w:rPr>
                <w:rStyle w:val="IndexLink"/>
                <w:lang w:val="en-CA" w:eastAsia="en-CA"/>
              </w:rPr>
              <w:t>Credit Risk Management</w:t>
              <w:tab/>
              <w:t>32</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12">
            <w:r>
              <w:rPr>
                <w:rStyle w:val="IndexLink"/>
                <w:lang w:val="en-CA" w:eastAsia="en-CA"/>
              </w:rPr>
              <w:t>7.8.2</w:t>
            </w:r>
            <w:r>
              <w:rPr>
                <w:rStyle w:val="IndexLink"/>
                <w:rFonts w:cs="Times New Roman" w:ascii="Times New Roman" w:hAnsi="Times New Roman"/>
                <w:sz w:val="24"/>
                <w:szCs w:val="24"/>
                <w:lang w:val="en-US" w:eastAsia="en-CA"/>
              </w:rPr>
              <w:tab/>
            </w:r>
            <w:r>
              <w:rPr>
                <w:rStyle w:val="IndexLink"/>
                <w:lang w:val="en-CA" w:eastAsia="en-CA"/>
              </w:rPr>
              <w:t>Market Risk Management</w:t>
              <w:tab/>
              <w:t>35</w:t>
            </w:r>
          </w:hyperlink>
        </w:p>
        <w:p>
          <w:pPr>
            <w:pStyle w:val="TOC3"/>
            <w:tabs>
              <w:tab w:val="clear" w:pos="720"/>
              <w:tab w:val="left" w:pos="1200" w:leader="none"/>
              <w:tab w:val="right" w:pos="8630" w:leader="dot"/>
            </w:tabs>
            <w:rPr>
              <w:rFonts w:ascii="Times New Roman" w:hAnsi="Times New Roman" w:cs="Times New Roman"/>
              <w:sz w:val="24"/>
              <w:szCs w:val="24"/>
              <w:lang w:val="en-US" w:eastAsia="en-CA"/>
            </w:rPr>
          </w:pPr>
          <w:hyperlink w:anchor="__RefHeading___Toc516910313">
            <w:r>
              <w:rPr>
                <w:rStyle w:val="IndexLink"/>
                <w:lang w:val="en-CA" w:eastAsia="en-CA"/>
              </w:rPr>
              <w:t>7.8.3</w:t>
            </w:r>
            <w:r>
              <w:rPr>
                <w:rStyle w:val="IndexLink"/>
                <w:rFonts w:cs="Times New Roman" w:ascii="Times New Roman" w:hAnsi="Times New Roman"/>
                <w:sz w:val="24"/>
                <w:szCs w:val="24"/>
                <w:lang w:val="en-US" w:eastAsia="en-CA"/>
              </w:rPr>
              <w:tab/>
            </w:r>
            <w:r>
              <w:rPr>
                <w:rStyle w:val="IndexLink"/>
                <w:lang w:val="en-CA" w:eastAsia="en-CA"/>
              </w:rPr>
              <w:t>Strategic Risk Management</w:t>
              <w:tab/>
              <w:t>35</w:t>
            </w:r>
          </w:hyperlink>
        </w:p>
        <w:p>
          <w:pPr>
            <w:pStyle w:val="TOC2"/>
            <w:rPr>
              <w:rFonts w:ascii="Times New Roman" w:hAnsi="Times New Roman" w:cs="Times New Roman"/>
              <w:caps w:val="false"/>
              <w:smallCaps w:val="false"/>
              <w:szCs w:val="24"/>
              <w:lang w:val="en-US" w:eastAsia="en-CA"/>
            </w:rPr>
          </w:pPr>
          <w:hyperlink w:anchor="__RefHeading___Toc516910314">
            <w:r>
              <w:rPr>
                <w:rStyle w:val="IndexLink"/>
              </w:rPr>
              <w:t>7.9</w:t>
            </w:r>
            <w:r>
              <w:rPr>
                <w:rStyle w:val="IndexLink"/>
                <w:rFonts w:cs="Times New Roman" w:ascii="Times New Roman" w:hAnsi="Times New Roman"/>
                <w:caps w:val="false"/>
                <w:smallCaps w:val="false"/>
                <w:szCs w:val="24"/>
                <w:lang w:val="en-US" w:eastAsia="en-CA"/>
              </w:rPr>
              <w:tab/>
            </w:r>
            <w:r>
              <w:rPr>
                <w:rStyle w:val="IndexLink"/>
              </w:rPr>
              <w:t>Treasury</w:t>
              <w:tab/>
              <w:t>36</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15">
            <w:r>
              <w:rPr>
                <w:rStyle w:val="IndexLink"/>
              </w:rPr>
              <w:t>7.10</w:t>
            </w:r>
            <w:r>
              <w:rPr>
                <w:rStyle w:val="IndexLink"/>
                <w:rFonts w:cs="Times New Roman" w:ascii="Times New Roman" w:hAnsi="Times New Roman"/>
                <w:caps w:val="false"/>
                <w:smallCaps w:val="false"/>
                <w:szCs w:val="24"/>
                <w:lang w:val="en-US" w:eastAsia="en-CA"/>
              </w:rPr>
              <w:tab/>
            </w:r>
            <w:r>
              <w:rPr>
                <w:rStyle w:val="IndexLink"/>
              </w:rPr>
              <w:t>Internal Audit (Enron Assurance Services)</w:t>
              <w:tab/>
              <w:t>36</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316">
            <w:r>
              <w:rPr>
                <w:rStyle w:val="IndexLink"/>
                <w:szCs w:val="28"/>
              </w:rPr>
              <w:t>8</w:t>
            </w:r>
            <w:r>
              <w:rPr>
                <w:rStyle w:val="IndexLink"/>
                <w:rFonts w:cs="Times New Roman" w:ascii="Times New Roman" w:hAnsi="Times New Roman"/>
                <w:b w:val="false"/>
                <w:caps w:val="false"/>
                <w:smallCaps w:val="false"/>
                <w:sz w:val="24"/>
                <w:szCs w:val="24"/>
                <w:lang w:val="en-US" w:eastAsia="en-CA"/>
              </w:rPr>
              <w:tab/>
            </w:r>
            <w:r>
              <w:rPr>
                <w:rStyle w:val="IndexLink"/>
                <w:szCs w:val="28"/>
              </w:rPr>
              <w:t>Miscellaneous</w:t>
            </w:r>
            <w:r>
              <w:rPr>
                <w:rStyle w:val="IndexLink"/>
              </w:rPr>
              <w:tab/>
              <w:t>37</w:t>
            </w:r>
          </w:hyperlink>
        </w:p>
        <w:p>
          <w:pPr>
            <w:pStyle w:val="TOC2"/>
            <w:rPr>
              <w:rFonts w:ascii="Times New Roman" w:hAnsi="Times New Roman" w:cs="Times New Roman"/>
              <w:caps w:val="false"/>
              <w:smallCaps w:val="false"/>
              <w:szCs w:val="24"/>
              <w:lang w:val="en-US" w:eastAsia="en-CA"/>
            </w:rPr>
          </w:pPr>
          <w:hyperlink w:anchor="__RefHeading___Toc516910317">
            <w:r>
              <w:rPr>
                <w:rStyle w:val="IndexLink"/>
              </w:rPr>
              <w:t>8.1</w:t>
            </w:r>
            <w:r>
              <w:rPr>
                <w:rStyle w:val="IndexLink"/>
                <w:rFonts w:cs="Times New Roman" w:ascii="Times New Roman" w:hAnsi="Times New Roman"/>
                <w:caps w:val="false"/>
                <w:smallCaps w:val="false"/>
                <w:szCs w:val="24"/>
                <w:lang w:val="en-US" w:eastAsia="en-CA"/>
              </w:rPr>
              <w:tab/>
            </w:r>
            <w:r>
              <w:rPr>
                <w:rStyle w:val="IndexLink"/>
              </w:rPr>
              <w:t>Employee Trading</w:t>
              <w:tab/>
              <w:t>37</w:t>
            </w:r>
          </w:hyperlink>
        </w:p>
        <w:p>
          <w:pPr>
            <w:pStyle w:val="TOC2"/>
            <w:rPr>
              <w:rFonts w:ascii="Times New Roman" w:hAnsi="Times New Roman" w:cs="Times New Roman"/>
              <w:caps w:val="false"/>
              <w:smallCaps w:val="false"/>
              <w:szCs w:val="24"/>
              <w:lang w:val="en-US" w:eastAsia="en-CA"/>
            </w:rPr>
          </w:pPr>
          <w:hyperlink w:anchor="__RefHeading___Toc516910318">
            <w:r>
              <w:rPr>
                <w:rStyle w:val="IndexLink"/>
              </w:rPr>
              <w:t>8.2</w:t>
            </w:r>
            <w:r>
              <w:rPr>
                <w:rStyle w:val="IndexLink"/>
                <w:rFonts w:cs="Times New Roman" w:ascii="Times New Roman" w:hAnsi="Times New Roman"/>
                <w:caps w:val="false"/>
                <w:smallCaps w:val="false"/>
                <w:szCs w:val="24"/>
                <w:lang w:val="en-US" w:eastAsia="en-CA"/>
              </w:rPr>
              <w:tab/>
            </w:r>
            <w:r>
              <w:rPr>
                <w:rStyle w:val="IndexLink"/>
              </w:rPr>
              <w:t>Employee Review and Compliance with Policy</w:t>
              <w:tab/>
              <w:t>37</w:t>
            </w:r>
          </w:hyperlink>
        </w:p>
        <w:p>
          <w:pPr>
            <w:pStyle w:val="TOC2"/>
            <w:rPr>
              <w:rFonts w:ascii="Times New Roman" w:hAnsi="Times New Roman" w:cs="Times New Roman"/>
              <w:caps w:val="false"/>
              <w:smallCaps w:val="false"/>
              <w:szCs w:val="24"/>
              <w:lang w:val="en-US" w:eastAsia="en-CA"/>
            </w:rPr>
          </w:pPr>
          <w:hyperlink w:anchor="__RefHeading___Toc516910319">
            <w:r>
              <w:rPr>
                <w:rStyle w:val="IndexLink"/>
              </w:rPr>
              <w:t>8.3</w:t>
            </w:r>
            <w:r>
              <w:rPr>
                <w:rStyle w:val="IndexLink"/>
                <w:rFonts w:cs="Times New Roman" w:ascii="Times New Roman" w:hAnsi="Times New Roman"/>
                <w:caps w:val="false"/>
                <w:smallCaps w:val="false"/>
                <w:szCs w:val="24"/>
                <w:lang w:val="en-US" w:eastAsia="en-CA"/>
              </w:rPr>
              <w:tab/>
            </w:r>
            <w:r>
              <w:rPr>
                <w:rStyle w:val="IndexLink"/>
              </w:rPr>
              <w:t>Supersedes Prior Policies.</w:t>
              <w:tab/>
              <w:t>37</w:t>
            </w:r>
          </w:hyperlink>
        </w:p>
        <w:p>
          <w:pPr>
            <w:pStyle w:val="TOC1"/>
            <w:tabs>
              <w:tab w:val="left" w:pos="4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320">
            <w:r>
              <w:rPr>
                <w:rStyle w:val="IndexLink"/>
                <w:szCs w:val="28"/>
              </w:rPr>
              <w:t>9</w:t>
            </w:r>
            <w:r>
              <w:rPr>
                <w:rStyle w:val="IndexLink"/>
                <w:rFonts w:cs="Times New Roman" w:ascii="Times New Roman" w:hAnsi="Times New Roman"/>
                <w:b w:val="false"/>
                <w:caps w:val="false"/>
                <w:smallCaps w:val="false"/>
                <w:sz w:val="24"/>
                <w:szCs w:val="24"/>
                <w:lang w:val="en-US" w:eastAsia="en-CA"/>
              </w:rPr>
              <w:tab/>
            </w:r>
            <w:r>
              <w:rPr>
                <w:rStyle w:val="IndexLink"/>
                <w:szCs w:val="28"/>
              </w:rPr>
              <w:t>Glossary</w:t>
            </w:r>
            <w:r>
              <w:rPr>
                <w:rStyle w:val="IndexLink"/>
              </w:rPr>
              <w:tab/>
              <w:t>38</w:t>
            </w:r>
          </w:hyperlink>
        </w:p>
        <w:p>
          <w:pPr>
            <w:pStyle w:val="TOC1"/>
            <w:tabs>
              <w:tab w:val="left" w:pos="600" w:leader="none"/>
              <w:tab w:val="right" w:pos="9016" w:leader="dot"/>
            </w:tabs>
            <w:rPr>
              <w:rFonts w:ascii="Times New Roman" w:hAnsi="Times New Roman" w:cs="Times New Roman"/>
              <w:b w:val="false"/>
              <w:caps w:val="false"/>
              <w:smallCaps w:val="false"/>
              <w:sz w:val="24"/>
              <w:szCs w:val="24"/>
              <w:lang w:val="en-US" w:eastAsia="en-CA"/>
            </w:rPr>
          </w:pPr>
          <w:hyperlink w:anchor="__RefHeading___Toc516910321">
            <w:r>
              <w:rPr>
                <w:rStyle w:val="IndexLink"/>
                <w:szCs w:val="28"/>
              </w:rPr>
              <w:t>10</w:t>
            </w:r>
            <w:r>
              <w:rPr>
                <w:rStyle w:val="IndexLink"/>
                <w:rFonts w:cs="Times New Roman" w:ascii="Times New Roman" w:hAnsi="Times New Roman"/>
                <w:b w:val="false"/>
                <w:caps w:val="false"/>
                <w:smallCaps w:val="false"/>
                <w:sz w:val="24"/>
                <w:szCs w:val="24"/>
                <w:lang w:val="en-US" w:eastAsia="en-CA"/>
              </w:rPr>
              <w:tab/>
            </w:r>
            <w:r>
              <w:rPr>
                <w:rStyle w:val="IndexLink"/>
                <w:szCs w:val="28"/>
              </w:rPr>
              <w:t>Appendices</w:t>
            </w:r>
            <w:r>
              <w:rPr>
                <w:rStyle w:val="IndexLink"/>
              </w:rPr>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2">
            <w:r>
              <w:rPr>
                <w:rStyle w:val="IndexLink"/>
              </w:rPr>
              <w:t>10.1</w:t>
            </w:r>
            <w:r>
              <w:rPr>
                <w:rStyle w:val="IndexLink"/>
                <w:rFonts w:cs="Times New Roman" w:ascii="Times New Roman" w:hAnsi="Times New Roman"/>
                <w:caps w:val="false"/>
                <w:smallCaps w:val="false"/>
                <w:szCs w:val="24"/>
                <w:lang w:val="en-US" w:eastAsia="en-CA"/>
              </w:rPr>
              <w:tab/>
            </w:r>
            <w:r>
              <w:rPr>
                <w:rStyle w:val="IndexLink"/>
              </w:rPr>
              <w:t>Fundamental Operating Standards</w:t>
              <w:tab/>
              <w:t>42</w:t>
            </w:r>
          </w:hyperlink>
        </w:p>
        <w:p>
          <w:pPr>
            <w:pStyle w:val="TOC3"/>
            <w:tabs>
              <w:tab w:val="clear" w:pos="720"/>
              <w:tab w:val="left" w:pos="1400" w:leader="none"/>
              <w:tab w:val="right" w:pos="8630" w:leader="dot"/>
            </w:tabs>
            <w:rPr>
              <w:rFonts w:ascii="Times New Roman" w:hAnsi="Times New Roman" w:cs="Times New Roman"/>
              <w:sz w:val="24"/>
              <w:szCs w:val="24"/>
              <w:lang w:val="en-US" w:eastAsia="en-CA"/>
            </w:rPr>
          </w:pPr>
          <w:hyperlink w:anchor="__RefHeading___Toc516910323">
            <w:r>
              <w:rPr>
                <w:rStyle w:val="IndexLink"/>
                <w:lang w:val="en-CA" w:eastAsia="en-CA"/>
              </w:rPr>
              <w:t>10.1.1</w:t>
            </w:r>
            <w:r>
              <w:rPr>
                <w:rStyle w:val="IndexLink"/>
                <w:rFonts w:cs="Times New Roman" w:ascii="Times New Roman" w:hAnsi="Times New Roman"/>
                <w:sz w:val="24"/>
                <w:szCs w:val="24"/>
                <w:lang w:val="en-US" w:eastAsia="en-CA"/>
              </w:rPr>
              <w:tab/>
            </w:r>
            <w:r>
              <w:rPr>
                <w:rStyle w:val="IndexLink"/>
                <w:lang w:val="en-CA" w:eastAsia="en-CA"/>
              </w:rPr>
              <w:t>Segregation of Duties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4">
            <w:r>
              <w:rPr>
                <w:rStyle w:val="IndexLink"/>
              </w:rPr>
              <w:t>10.2</w:t>
            </w:r>
            <w:r>
              <w:rPr>
                <w:rStyle w:val="IndexLink"/>
                <w:rFonts w:cs="Times New Roman" w:ascii="Times New Roman" w:hAnsi="Times New Roman"/>
                <w:caps w:val="false"/>
                <w:smallCaps w:val="false"/>
                <w:szCs w:val="24"/>
                <w:lang w:val="en-US" w:eastAsia="en-CA"/>
              </w:rPr>
              <w:tab/>
            </w:r>
            <w:r>
              <w:rPr>
                <w:rStyle w:val="IndexLink"/>
              </w:rPr>
              <w:t>Minimum Cash Control Standards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5">
            <w:r>
              <w:rPr>
                <w:rStyle w:val="IndexLink"/>
              </w:rPr>
              <w:t>10.3</w:t>
            </w:r>
            <w:r>
              <w:rPr>
                <w:rStyle w:val="IndexLink"/>
                <w:rFonts w:cs="Times New Roman" w:ascii="Times New Roman" w:hAnsi="Times New Roman"/>
                <w:caps w:val="false"/>
                <w:smallCaps w:val="false"/>
                <w:szCs w:val="24"/>
                <w:lang w:val="en-US" w:eastAsia="en-CA"/>
              </w:rPr>
              <w:tab/>
            </w:r>
            <w:r>
              <w:rPr>
                <w:rStyle w:val="IndexLink"/>
              </w:rPr>
              <w:t>Code of Ethics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6">
            <w:r>
              <w:rPr>
                <w:rStyle w:val="IndexLink"/>
              </w:rPr>
              <w:t>10.4</w:t>
            </w:r>
            <w:r>
              <w:rPr>
                <w:rStyle w:val="IndexLink"/>
                <w:rFonts w:cs="Times New Roman" w:ascii="Times New Roman" w:hAnsi="Times New Roman"/>
                <w:caps w:val="false"/>
                <w:smallCaps w:val="false"/>
                <w:szCs w:val="24"/>
                <w:lang w:val="en-US" w:eastAsia="en-CA"/>
              </w:rPr>
              <w:tab/>
            </w:r>
            <w:r>
              <w:rPr>
                <w:rStyle w:val="IndexLink"/>
              </w:rPr>
              <w:t>Portfolio Limits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7">
            <w:r>
              <w:rPr>
                <w:rStyle w:val="IndexLink"/>
              </w:rPr>
              <w:t>10.5</w:t>
            </w:r>
            <w:r>
              <w:rPr>
                <w:rStyle w:val="IndexLink"/>
                <w:rFonts w:cs="Times New Roman" w:ascii="Times New Roman" w:hAnsi="Times New Roman"/>
                <w:caps w:val="false"/>
                <w:smallCaps w:val="false"/>
                <w:szCs w:val="24"/>
                <w:lang w:val="en-US" w:eastAsia="en-CA"/>
              </w:rPr>
              <w:tab/>
            </w:r>
            <w:r>
              <w:rPr>
                <w:rStyle w:val="IndexLink"/>
              </w:rPr>
              <w:t>Concentration Limits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8">
            <w:r>
              <w:rPr>
                <w:rStyle w:val="IndexLink"/>
              </w:rPr>
              <w:t>10.6</w:t>
            </w:r>
            <w:r>
              <w:rPr>
                <w:rStyle w:val="IndexLink"/>
                <w:rFonts w:cs="Times New Roman" w:ascii="Times New Roman" w:hAnsi="Times New Roman"/>
                <w:caps w:val="false"/>
                <w:smallCaps w:val="false"/>
                <w:szCs w:val="24"/>
                <w:lang w:val="en-US" w:eastAsia="en-CA"/>
              </w:rPr>
              <w:tab/>
            </w:r>
            <w:r>
              <w:rPr>
                <w:rStyle w:val="IndexLink"/>
              </w:rPr>
              <w:t>Credit Risk Management Limits and Procedures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29">
            <w:r>
              <w:rPr>
                <w:rStyle w:val="IndexLink"/>
              </w:rPr>
              <w:t>10.7</w:t>
            </w:r>
            <w:r>
              <w:rPr>
                <w:rStyle w:val="IndexLink"/>
                <w:rFonts w:cs="Times New Roman" w:ascii="Times New Roman" w:hAnsi="Times New Roman"/>
                <w:caps w:val="false"/>
                <w:smallCaps w:val="false"/>
                <w:szCs w:val="24"/>
                <w:lang w:val="en-US" w:eastAsia="en-CA"/>
              </w:rPr>
              <w:tab/>
            </w:r>
            <w:r>
              <w:rPr>
                <w:rStyle w:val="IndexLink"/>
              </w:rPr>
              <w:t>Model Guidelines</w:t>
              <w:tab/>
              <w:t>42</w:t>
            </w:r>
          </w:hyperlink>
        </w:p>
        <w:p>
          <w:pPr>
            <w:pStyle w:val="TOC2"/>
            <w:tabs>
              <w:tab w:val="left" w:pos="800" w:leader="none"/>
              <w:tab w:val="left" w:pos="1000" w:leader="none"/>
              <w:tab w:val="right" w:pos="9016" w:leader="dot"/>
            </w:tabs>
            <w:rPr>
              <w:rFonts w:ascii="Times New Roman" w:hAnsi="Times New Roman" w:cs="Times New Roman"/>
              <w:caps w:val="false"/>
              <w:smallCaps w:val="false"/>
              <w:szCs w:val="24"/>
              <w:lang w:val="en-US" w:eastAsia="en-CA"/>
            </w:rPr>
          </w:pPr>
          <w:hyperlink w:anchor="__RefHeading___Toc516910330">
            <w:r>
              <w:rPr>
                <w:rStyle w:val="IndexLink"/>
              </w:rPr>
              <w:t>10.8</w:t>
            </w:r>
            <w:r>
              <w:rPr>
                <w:rStyle w:val="IndexLink"/>
                <w:rFonts w:cs="Times New Roman" w:ascii="Times New Roman" w:hAnsi="Times New Roman"/>
                <w:caps w:val="false"/>
                <w:smallCaps w:val="false"/>
                <w:szCs w:val="24"/>
                <w:lang w:val="en-US" w:eastAsia="en-CA"/>
              </w:rPr>
              <w:tab/>
            </w:r>
            <w:r>
              <w:rPr>
                <w:rStyle w:val="IndexLink"/>
              </w:rPr>
              <w:t>Transaction Approval Process</w:t>
              <w:tab/>
              <w:t>42</w:t>
            </w:r>
          </w:hyperlink>
          <w:r>
            <w:rPr>
              <w:rStyle w:val="IndexLink"/>
            </w:rPr>
            <w:fldChar w:fldCharType="end"/>
          </w:r>
        </w:p>
      </w:sdtContent>
    </w:sdt>
    <w:p>
      <w:pPr>
        <w:pStyle w:val="TOC2"/>
        <w:rPr>
          <w:rFonts w:ascii="Times New Roman" w:hAnsi="Times New Roman" w:cs="Times New Roman"/>
          <w:caps w:val="false"/>
          <w:smallCaps w:val="false"/>
          <w:szCs w:val="24"/>
          <w:lang w:val="en-US" w:eastAsia="en-CA"/>
        </w:rPr>
      </w:pPr>
      <w:r>
        <w:rPr>
          <w:rFonts w:cs="Times New Roman" w:ascii="Times New Roman" w:hAnsi="Times New Roman"/>
          <w:caps w:val="false"/>
          <w:smallCaps w:val="false"/>
          <w:szCs w:val="24"/>
          <w:lang w:val="en-US" w:eastAsia="en-CA"/>
        </w:rPr>
      </w:r>
      <w:r>
        <w:br w:type="page"/>
      </w:r>
    </w:p>
    <w:p>
      <w:pPr>
        <w:pStyle w:val="Heading1"/>
        <w:numPr>
          <w:ilvl w:val="0"/>
          <w:numId w:val="6"/>
        </w:numPr>
        <w:rPr/>
      </w:pPr>
      <w:bookmarkStart w:id="0" w:name="__RefHeading___Toc516910244"/>
      <w:bookmarkEnd w:id="0"/>
      <w:r>
        <w:rPr/>
        <w:t>Introduction</w:t>
      </w:r>
    </w:p>
    <w:p>
      <w:pPr>
        <w:pStyle w:val="Index1"/>
        <w:rPr/>
      </w:pPr>
      <w:r>
        <w:rPr/>
        <w:t>Enron Corp. and subsidiaries (the Company) is exposed to market, credit and operational risks due to its various business activities encompassing wholesale, retail, transmission and distribution, and broadband services.  Effective risk management, on its own behalf and on behalf of its customers, is the Company’s premier core competence crossing each of its lines of business as the Company seeks to maximize shareholder value by maximizing returns on capital and minimizing hazards to that capital.  The Company’s philosophy toward risk involves entering into risk selecting activities that generate and improve profits while carefully managing and controlling the Company’s exposure to loss via the framework outlined in this enterprise wide Risk Management Policy (Policy).</w:t>
      </w:r>
    </w:p>
    <w:p>
      <w:pPr>
        <w:pStyle w:val="Heading2"/>
        <w:numPr>
          <w:ilvl w:val="1"/>
          <w:numId w:val="6"/>
        </w:numPr>
        <w:rPr/>
      </w:pPr>
      <w:bookmarkStart w:id="1" w:name="__RefHeading___Toc516910245"/>
      <w:bookmarkEnd w:id="1"/>
      <w:r>
        <w:rPr/>
        <w:t>Objective</w:t>
      </w:r>
    </w:p>
    <w:p>
      <w:pPr>
        <w:pStyle w:val="Index2"/>
        <w:rPr/>
      </w:pPr>
      <w:r>
        <w:rPr/>
        <w:t>The objective of this Policy is to ensure the Company’s capital is preserved and returns on capital are optimized in accordance with Enron Corp. Board of Directors’ risk appetite.  This Policy defines a comprehensive framework encompassing best practices to control market, credit and operational risks across the Company, thereby adding value to the Company by reducing the volatility of the Company’s cash flows and reducing the probability that the Company’s net income and cash flows will fall low enough to trigger financial distress.</w:t>
      </w:r>
    </w:p>
    <w:p>
      <w:pPr>
        <w:pStyle w:val="Heading2"/>
        <w:numPr>
          <w:ilvl w:val="1"/>
          <w:numId w:val="6"/>
        </w:numPr>
        <w:rPr/>
      </w:pPr>
      <w:bookmarkStart w:id="2" w:name="__RefHeading___Toc516910246"/>
      <w:r>
        <w:rPr/>
        <w:t>Risk Based Capital Allocation</w:t>
      </w:r>
      <w:bookmarkEnd w:id="2"/>
      <w:r>
        <w:rPr/>
        <w:t xml:space="preserve"> </w:t>
      </w:r>
    </w:p>
    <w:p>
      <w:pPr>
        <w:pStyle w:val="Index2"/>
        <w:rPr/>
      </w:pPr>
      <w:r>
        <w:rPr/>
        <w:t>Risk Capital represents the amount of actual capital at risk due to market factors, credit quality and operational events.  The allocation of the Company’s capital shall be made considering a number of quantitative and qualitative factors that enable the Company to determine the amount of Risk Capital expended.  Transactions shall be evaluated according to this Policy, focusing on the incremental impact of the transaction on the Portfolios, and ensuring Risk Capital allocation is consistent with the Company’s risk appetite as defined by the Enron Corp. Board of Directors.  As part of the Risk Capital allocation process, the Company shall consider not only the expected capital at risk, but also the capital required to provide for unexpected losses.</w:t>
      </w:r>
    </w:p>
    <w:p>
      <w:pPr>
        <w:pStyle w:val="Heading2"/>
        <w:numPr>
          <w:ilvl w:val="1"/>
          <w:numId w:val="6"/>
        </w:numPr>
        <w:rPr/>
      </w:pPr>
      <w:bookmarkStart w:id="3" w:name="__RefHeading___Toc516910247"/>
      <w:bookmarkEnd w:id="3"/>
      <w:r>
        <w:rPr/>
        <w:t>Preservation of Capital</w:t>
      </w:r>
    </w:p>
    <w:p>
      <w:pPr>
        <w:pStyle w:val="Index2"/>
        <w:rPr/>
      </w:pPr>
      <w:r>
        <w:rPr/>
        <w:t>The Company’s capital shall be preserved by defining, measuring and controlling Risk Capital according to the provisions of this Policy; allocating Risk Capital according to market, credit and operational risks; and limiting concentration of risks at a variety of levels, including: commodity, counterparty, geographic and business unit levels.</w:t>
      </w:r>
    </w:p>
    <w:p>
      <w:pPr>
        <w:pStyle w:val="Heading1"/>
        <w:numPr>
          <w:ilvl w:val="0"/>
          <w:numId w:val="6"/>
        </w:numPr>
        <w:rPr/>
      </w:pPr>
      <w:bookmarkStart w:id="4" w:name="__RefHeading___Toc516910248"/>
      <w:bookmarkEnd w:id="4"/>
      <w:r>
        <w:rPr/>
        <w:t>Portfolios</w:t>
      </w:r>
    </w:p>
    <w:p>
      <w:pPr>
        <w:pStyle w:val="Index1"/>
        <w:rPr/>
      </w:pPr>
      <w:r>
        <w:rPr/>
        <w:t>During the normal course of business, designated Enron Business Units are authorized to enter into transactions, including derivative transactions; and these transactions create positions for the Company in accordance with the provisions of this Policy.  These positions are managed in the following Portfolios:</w:t>
      </w:r>
    </w:p>
    <w:p>
      <w:pPr>
        <w:pStyle w:val="Heading2"/>
        <w:numPr>
          <w:ilvl w:val="1"/>
          <w:numId w:val="6"/>
        </w:numPr>
        <w:rPr/>
      </w:pPr>
      <w:bookmarkStart w:id="5" w:name="__RefHeading___Toc516910249"/>
      <w:bookmarkEnd w:id="5"/>
      <w:r>
        <w:rPr/>
        <w:t>Mark-to-Market (Trading) Portfolio</w:t>
      </w:r>
    </w:p>
    <w:p>
      <w:pPr>
        <w:pStyle w:val="Index2"/>
        <w:rPr/>
      </w:pPr>
      <w:r>
        <w:rPr/>
        <w:t>The Company’s Trading Portfolio is designed to capture and manage risks related to commodity sales and services, including the purchase, sale, marketing and delivery of energy and other commodities, to provide related risk management services, and to take advantage of market arbitrage opportunities and manage positions within the approved limits.  This Portfolio includes Commodity Groups listed in Appendix ___, accounted for using a mark-to-market method.</w:t>
      </w:r>
    </w:p>
    <w:p>
      <w:pPr>
        <w:pStyle w:val="Heading2"/>
        <w:numPr>
          <w:ilvl w:val="1"/>
          <w:numId w:val="6"/>
        </w:numPr>
        <w:rPr/>
      </w:pPr>
      <w:bookmarkStart w:id="6" w:name="__RefHeading___Toc516910250"/>
      <w:bookmarkEnd w:id="6"/>
      <w:r>
        <w:rPr/>
        <w:t>Fair Value (Merchant) Portfolio</w:t>
      </w:r>
    </w:p>
    <w:p>
      <w:pPr>
        <w:pStyle w:val="Index2"/>
        <w:rPr/>
      </w:pPr>
      <w:r>
        <w:rPr/>
        <w:t xml:space="preserve">The Company’s Merchant Portfolio is designed to capture and manage risks related to merchant investments in public and private companies, including the active management of embedded exposures, and to provide greater liquidity and transparency for the Company’s merchant investment activities. This portfolio includes equity, “equity-like,” debt and “debt-like” investments in the public and private sector.  </w:t>
      </w:r>
    </w:p>
    <w:p>
      <w:pPr>
        <w:pStyle w:val="Heading2"/>
        <w:numPr>
          <w:ilvl w:val="1"/>
          <w:numId w:val="6"/>
        </w:numPr>
        <w:rPr/>
      </w:pPr>
      <w:bookmarkStart w:id="7" w:name="__RefHeading___Toc516910251"/>
      <w:bookmarkEnd w:id="7"/>
      <w:r>
        <w:rPr/>
        <w:t>Regulated Domestic Asset Portfolio</w:t>
      </w:r>
    </w:p>
    <w:p>
      <w:pPr>
        <w:pStyle w:val="Index2"/>
        <w:rPr/>
      </w:pPr>
      <w:r>
        <w:rPr/>
        <w:t>The Company’s Regulated Domestic Asset Portfolio is designed to capture and manage risks related to the business activities of the Company’s subsidiaries regulated in the United States (i.e. pipelines and utilities).  While these subsidiaries and affiliates may engage in some activities similar to those in the Company’s other Portfolios, these subsidiaries’ activities may have different accounting and other legal and regulatory segregation requirements that require separate application of risk management reporting and analysis processes.</w:t>
      </w:r>
    </w:p>
    <w:p>
      <w:pPr>
        <w:pStyle w:val="Heading2"/>
        <w:numPr>
          <w:ilvl w:val="1"/>
          <w:numId w:val="6"/>
        </w:numPr>
        <w:rPr/>
      </w:pPr>
      <w:bookmarkStart w:id="8" w:name="__RefHeading___Toc516910252"/>
      <w:bookmarkEnd w:id="8"/>
      <w:r>
        <w:rPr/>
        <w:t>Retail Portfolio</w:t>
      </w:r>
    </w:p>
    <w:p>
      <w:pPr>
        <w:pStyle w:val="Index2"/>
        <w:rPr>
          <w:iCs w:val="false"/>
        </w:rPr>
      </w:pPr>
      <w:r>
        <w:rPr/>
        <w:t>The Company’s</w:t>
      </w:r>
      <w:r>
        <w:rPr>
          <w:b/>
          <w:bCs/>
        </w:rPr>
        <w:t xml:space="preserve"> </w:t>
      </w:r>
      <w:r>
        <w:rPr>
          <w:bCs/>
        </w:rPr>
        <w:t>Retail</w:t>
      </w:r>
      <w:r>
        <w:rPr/>
        <w:t xml:space="preserve"> </w:t>
      </w:r>
      <w:r>
        <w:rPr>
          <w:bCs/>
        </w:rPr>
        <w:t>Portfolio</w:t>
      </w:r>
      <w:r>
        <w:rPr/>
        <w:t xml:space="preserve"> is designed to capture and manage exposures inherent in the energy services line of business as it sells or manages the delivery of commodities to customers and provides integrated outsourcing solutions to customers for full energy management.</w:t>
      </w:r>
    </w:p>
    <w:p>
      <w:pPr>
        <w:pStyle w:val="Heading2"/>
        <w:numPr>
          <w:ilvl w:val="1"/>
          <w:numId w:val="6"/>
        </w:numPr>
        <w:rPr/>
      </w:pPr>
      <w:bookmarkStart w:id="9" w:name="__RefHeading___Toc516910253"/>
      <w:bookmarkEnd w:id="9"/>
      <w:r>
        <w:rPr/>
        <w:t>Other Assets and Contracts Portfolio</w:t>
      </w:r>
    </w:p>
    <w:p>
      <w:pPr>
        <w:pStyle w:val="Index2"/>
        <w:rPr>
          <w:iCs w:val="false"/>
          <w:color w:val="0000FF"/>
        </w:rPr>
      </w:pPr>
      <w:r>
        <w:rPr/>
        <w:t>The Company’s Other Assets and Contracts Portfolio</w:t>
      </w:r>
      <w:r>
        <w:rPr>
          <w:b/>
          <w:bCs/>
        </w:rPr>
        <w:t xml:space="preserve"> </w:t>
      </w:r>
      <w:r>
        <w:rPr/>
        <w:t>is designed to capture and manage exposures and risks embedded in its assets and other investments, liabilities and contractual arrangements that are accounted for on an accrual basis or are not otherwise captured in the other Portfolios defined in this Policy.  This portfolio includes: i) operating assets throughout the Company’s network of selective domestic and international asset ownership, ii) contractual access to third-party assets and market-making activities, and iii) off-balance sheet or contingent positions.</w:t>
      </w:r>
    </w:p>
    <w:p>
      <w:pPr>
        <w:pStyle w:val="Heading2"/>
        <w:numPr>
          <w:ilvl w:val="1"/>
          <w:numId w:val="6"/>
        </w:numPr>
        <w:rPr/>
      </w:pPr>
      <w:bookmarkStart w:id="10" w:name="__RefHeading___Toc516910254"/>
      <w:bookmarkEnd w:id="10"/>
      <w:r>
        <w:rPr/>
        <w:t>Enron Corp. Stock  (Capital) Portfolio</w:t>
      </w:r>
    </w:p>
    <w:p>
      <w:pPr>
        <w:pStyle w:val="Index2"/>
        <w:rPr/>
      </w:pPr>
      <w:r>
        <w:rPr>
          <w:bCs/>
        </w:rPr>
        <w:t>The Company’s Capital Portfolio</w:t>
      </w:r>
      <w:r>
        <w:rPr/>
        <w:t xml:space="preserve"> is designed to capture and manage exposures inherent in positions and transactions involving Enron’s own stock or derivatives thereof, which may occur from time to time in the execution of structured transactions.</w:t>
      </w:r>
    </w:p>
    <w:p>
      <w:pPr>
        <w:pStyle w:val="Index2"/>
        <w:rPr/>
      </w:pPr>
      <w:r>
        <w:rPr/>
        <w:t>(</w:t>
      </w:r>
      <w:r>
        <w:rPr>
          <w:i/>
          <w:iCs w:val="false"/>
          <w:color w:val="0000FF"/>
        </w:rPr>
        <w:t>does this include any derivatives connected to Enron debt?  Do we capture those currently?  Interest rate swaps, f/x indexed debt, etc.?)</w:t>
      </w:r>
    </w:p>
    <w:p>
      <w:pPr>
        <w:pStyle w:val="Heading1"/>
        <w:numPr>
          <w:ilvl w:val="0"/>
          <w:numId w:val="6"/>
        </w:numPr>
        <w:rPr/>
      </w:pPr>
      <w:bookmarkStart w:id="11" w:name="__RefHeading___Toc516910255"/>
      <w:bookmarkEnd w:id="11"/>
      <w:r>
        <w:rPr/>
        <w:t>Risk Based Capital Allocation</w:t>
      </w:r>
    </w:p>
    <w:p>
      <w:pPr>
        <w:pStyle w:val="Index1"/>
        <w:rPr/>
      </w:pPr>
      <w:r>
        <w:rPr/>
        <w:t xml:space="preserve">The Company’s limit structure promotes the alignment of the corporate risk appetite with its business activities as these limits are established using a capital at risk methodology.  </w:t>
      </w:r>
    </w:p>
    <w:p>
      <w:pPr>
        <w:pStyle w:val="Index1"/>
        <w:rPr/>
      </w:pPr>
      <w:r>
        <w:rPr/>
        <w:t>Approved capital at risk (Risk Capital) reflects the amount of capital the shareholders of the Company are willing to put at risk; in effect, this is the risk appetite of the firm.  This Risk Capital is intended to cover market risk, credit risk and operational risk.  The Company’s overall risk appetite determines the amount of risk taking that each of the Enron Business Units can engage in both individually as well as in the aggregate.</w:t>
      </w:r>
    </w:p>
    <w:p>
      <w:pPr>
        <w:pStyle w:val="Heading2"/>
        <w:numPr>
          <w:ilvl w:val="1"/>
          <w:numId w:val="6"/>
        </w:numPr>
        <w:rPr/>
      </w:pPr>
      <w:bookmarkStart w:id="12" w:name="__RefHeading___Toc516910256"/>
      <w:bookmarkEnd w:id="12"/>
      <w:r>
        <w:rPr/>
        <w:t>Returns on Risk Capital</w:t>
      </w:r>
    </w:p>
    <w:p>
      <w:pPr>
        <w:pStyle w:val="Index2"/>
        <w:rPr/>
      </w:pPr>
      <w:r>
        <w:rPr/>
        <w:t>Returns on Risk Capital shall be analyzed regularly and shall be considered in the allocation of Risk Capital.  Results may be included in the Chief Risk Officer’s presentations to the Finance Committee of the Enron Corp. Board of Directors to assist in their determination of the Company’s risk appetite.</w:t>
      </w:r>
    </w:p>
    <w:p>
      <w:pPr>
        <w:pStyle w:val="Heading3"/>
        <w:numPr>
          <w:ilvl w:val="2"/>
          <w:numId w:val="6"/>
        </w:numPr>
        <w:rPr/>
      </w:pPr>
      <w:bookmarkStart w:id="13" w:name="__RefHeading___Toc516910257"/>
      <w:bookmarkEnd w:id="13"/>
      <w:r>
        <w:rPr/>
        <w:t>Return on Value-at-Risk (RoVaR)</w:t>
      </w:r>
    </w:p>
    <w:p>
      <w:pPr>
        <w:pStyle w:val="Index3"/>
        <w:rPr/>
      </w:pPr>
      <w:r>
        <w:rPr/>
        <w:t>Returns on Value-at-Risk (RoVaR) shall be calculated by the Enron Business Units at least quarterly for each Commodity Group in the Trading, Merchant and Capital Portfolios, and results provided to the Enron Corp. Chief Risk Officer or his designee.</w:t>
      </w:r>
    </w:p>
    <w:p>
      <w:pPr>
        <w:pStyle w:val="Heading3"/>
        <w:numPr>
          <w:ilvl w:val="2"/>
          <w:numId w:val="6"/>
        </w:numPr>
        <w:rPr/>
      </w:pPr>
      <w:bookmarkStart w:id="14" w:name="__RefHeading___Toc516910258"/>
      <w:bookmarkEnd w:id="14"/>
      <w:r>
        <w:rPr/>
        <w:t>Return on Capital-at-Risk (RoCaR)</w:t>
      </w:r>
    </w:p>
    <w:p>
      <w:pPr>
        <w:pStyle w:val="Index3"/>
        <w:rPr/>
      </w:pPr>
      <w:r>
        <w:rPr/>
        <w:t>Return on capital-at-risk (RoCaR) shall be calculated by RAC in support of the Company’s analysis of actual versus expected returns.   The Company’s overall RoCaR analysis shall include methodology to be developed that encompasses credit, market, and operational risks, both expected and unexpected.  RoCaR is a risk metric that shall be further defined and customized based on the specific application, and shall be calculated on all transactions subject to the Transaction Approval Process.</w:t>
      </w:r>
    </w:p>
    <w:p>
      <w:pPr>
        <w:pStyle w:val="Index3"/>
        <w:rPr/>
      </w:pPr>
      <w:r>
        <w:rPr/>
      </w:r>
    </w:p>
    <w:p>
      <w:pPr>
        <w:pStyle w:val="Index3"/>
        <w:rPr/>
      </w:pPr>
      <w:r>
        <w:rPr/>
        <w:t>(</w:t>
      </w:r>
      <w:r>
        <w:rPr>
          <w:i/>
          <w:iCs/>
          <w:color w:val="0000FF"/>
        </w:rPr>
        <w:t>address how earnings at risk measurements for the non-Trading Portfolios will be factored in?)</w:t>
      </w:r>
    </w:p>
    <w:p>
      <w:pPr>
        <w:pStyle w:val="Heading3"/>
        <w:numPr>
          <w:ilvl w:val="2"/>
          <w:numId w:val="6"/>
        </w:numPr>
        <w:rPr/>
      </w:pPr>
      <w:bookmarkStart w:id="15" w:name="__RefHeading___Toc516910259"/>
      <w:bookmarkEnd w:id="15"/>
      <w:r>
        <w:rPr/>
        <w:t>Return on Earnings-at-Risk (EaR)</w:t>
      </w:r>
    </w:p>
    <w:p>
      <w:pPr>
        <w:pStyle w:val="Index3"/>
        <w:rPr/>
      </w:pPr>
      <w:r>
        <w:rPr/>
        <w:t xml:space="preserve">( </w:t>
      </w:r>
      <w:r>
        <w:rPr>
          <w:i/>
          <w:iCs/>
          <w:color w:val="0000FF"/>
        </w:rPr>
        <w:t>is this going to be a metric?  discuss w/Naveen how EaR can be used as some Portfolios won’t have VaR</w:t>
      </w:r>
      <w:r>
        <w:rPr/>
        <w:t>)</w:t>
      </w:r>
    </w:p>
    <w:p>
      <w:pPr>
        <w:pStyle w:val="Index3"/>
        <w:rPr/>
      </w:pPr>
      <w:r>
        <w:rPr/>
      </w:r>
    </w:p>
    <w:p>
      <w:pPr>
        <w:pStyle w:val="Heading3"/>
        <w:numPr>
          <w:ilvl w:val="2"/>
          <w:numId w:val="6"/>
        </w:numPr>
        <w:rPr/>
      </w:pPr>
      <w:bookmarkStart w:id="16" w:name="__RefHeading___Toc516910260"/>
      <w:r>
        <w:rPr/>
        <w:t>Other Metrics used in Transaction Approval Process</w:t>
      </w:r>
      <w:bookmarkEnd w:id="16"/>
      <w:r>
        <w:rPr/>
        <w:t xml:space="preserve"> </w:t>
      </w:r>
    </w:p>
    <w:p>
      <w:pPr>
        <w:pStyle w:val="Index3"/>
        <w:rPr/>
      </w:pPr>
      <w:r>
        <w:rPr/>
        <w:t>(</w:t>
      </w:r>
      <w:r>
        <w:rPr>
          <w:i/>
          <w:iCs/>
          <w:color w:val="0000FF"/>
        </w:rPr>
        <w:t>discuss w/Gorte</w:t>
      </w:r>
      <w:r>
        <w:rPr/>
        <w:t xml:space="preserve"> </w:t>
      </w:r>
      <w:r>
        <w:rPr>
          <w:i/>
          <w:iCs/>
          <w:color w:val="0000FF"/>
        </w:rPr>
        <w:t>and Carson</w:t>
      </w:r>
      <w:r>
        <w:rPr/>
        <w:t>)</w:t>
      </w:r>
    </w:p>
    <w:p>
      <w:pPr>
        <w:pStyle w:val="Heading2"/>
        <w:numPr>
          <w:ilvl w:val="1"/>
          <w:numId w:val="6"/>
        </w:numPr>
        <w:rPr/>
      </w:pPr>
      <w:bookmarkStart w:id="17" w:name="__RefHeading___Toc516910261"/>
      <w:bookmarkEnd w:id="17"/>
      <w:r>
        <w:rPr/>
        <w:t>Allocation of Risk Capital</w:t>
      </w:r>
    </w:p>
    <w:p>
      <w:pPr>
        <w:pStyle w:val="Index2"/>
        <w:rPr/>
      </w:pPr>
      <w:r>
        <w:rPr/>
        <w:t xml:space="preserve">As outlined in this Policy, allocation of the Company’s Risk Capital shall be executed by granting of market risk limits, credit risk approval, and specific transaction approval via the Transaction Approval Process, and these allocations shall reflect adjustments for the Operational Risk Rating of the transaction or business unit activity.   </w:t>
      </w:r>
    </w:p>
    <w:p>
      <w:pPr>
        <w:pStyle w:val="Heading1"/>
        <w:numPr>
          <w:ilvl w:val="0"/>
          <w:numId w:val="6"/>
        </w:numPr>
        <w:rPr/>
      </w:pPr>
      <w:bookmarkStart w:id="18" w:name="__RefHeading___Toc516910262"/>
      <w:bookmarkEnd w:id="18"/>
      <w:r>
        <w:rPr/>
        <w:t>Preservation of Capital</w:t>
      </w:r>
    </w:p>
    <w:p>
      <w:pPr>
        <w:pStyle w:val="Index1"/>
        <w:rPr>
          <w:iCs w:val="false"/>
        </w:rPr>
      </w:pPr>
      <w:r>
        <w:rPr>
          <w:iCs w:val="false"/>
        </w:rPr>
        <w:t xml:space="preserve">The Company conducts its businesses to maximize shareholder value by maximizing return on invested capital. It also seeks to preserve capital and to safeguard that capital from the impacts of market, credit and operational risks.  Preservation of capital requires measurement techniques, a limit structure, and associated reporting standards to be applied for each primary risk factor.  </w:t>
      </w:r>
    </w:p>
    <w:p>
      <w:pPr>
        <w:pStyle w:val="Heading2"/>
        <w:numPr>
          <w:ilvl w:val="1"/>
          <w:numId w:val="6"/>
        </w:numPr>
        <w:rPr/>
      </w:pPr>
      <w:bookmarkStart w:id="19" w:name="__RefHeading___Toc516910263"/>
      <w:r>
        <w:rPr/>
        <w:t>Capital Associated with Market Risk</w:t>
      </w:r>
      <w:bookmarkEnd w:id="19"/>
      <w:r>
        <w:rPr/>
        <w:t xml:space="preserve">  </w:t>
      </w:r>
    </w:p>
    <w:p>
      <w:pPr>
        <w:pStyle w:val="Index2"/>
        <w:rPr/>
      </w:pPr>
      <w:r>
        <w:rPr/>
        <w:t>The Company’s capital is exposed to risk of loss arising from movements in market prices and commodity volumes impacting on and off-balance sheet positions in its Portfolios.  Management of such exposures may include the use of fixed-price contracts, forward contracts, physical purchase and sale contracts, futures contracts, and financial swaps and option contracts traded in the over-the-counter markets or on exchanges.</w:t>
      </w:r>
    </w:p>
    <w:p>
      <w:pPr>
        <w:pStyle w:val="Index2"/>
        <w:rPr/>
      </w:pPr>
      <w:r>
        <w:rPr/>
        <w:t xml:space="preserve">Commodity Exposure - The Company is exposed to commodity Price Risk, Basis Risk, Index Risk,  Volumetric Risk and Liquidity Risk in its normal business activities.  For purposes of application of this Policy, exposure from investment in debt and equity securities in its Trading and Merchant Portfolios is also considered to be included in the Company’s overall commodity exposure.  These risks shall be captured and managed on a daily basis for transactions and positions within the Trading Portfolio, and </w:t>
      </w:r>
      <w:r>
        <w:rPr>
          <w:iCs w:val="false"/>
        </w:rPr>
        <w:t>periodically as determined by the Chief Risk Officer</w:t>
      </w:r>
      <w:r>
        <w:rPr>
          <w:iCs w:val="false"/>
          <w:color w:val="3366FF"/>
        </w:rPr>
        <w:t xml:space="preserve"> </w:t>
      </w:r>
      <w:r>
        <w:rPr>
          <w:iCs w:val="false"/>
        </w:rPr>
        <w:t>for the other Portfolios.</w:t>
      </w:r>
    </w:p>
    <w:p>
      <w:pPr>
        <w:pStyle w:val="Index2"/>
        <w:rPr/>
      </w:pPr>
      <w:r>
        <w:rPr/>
        <w:t xml:space="preserve">Interest Rate Exposure - The Company is exposed to interest rate risk in the course of its normal business activities.  Interest rate exposure in the Trading Portfolio and Merchant Portfolio </w:t>
      </w:r>
      <w:r>
        <w:rPr>
          <w:color w:val="0000FF"/>
        </w:rPr>
        <w:t>(and Retail Portfolio?)</w:t>
      </w:r>
      <w:r>
        <w:rPr/>
        <w:t xml:space="preserve"> shall be fully hedged with the interest rate desk in the Trading Portfolio.  The Enron Business Units shall identify and measure interest rate exposure in the remaining Portfolios in a periodic report that is submitted to the respective Enron Business Unit Office of the Chairman for hedging decision making, and is also to be included in the Company’s Monthly Position Report and Consolidated Position Report to enable the Company to quantify its consolidated interest rate exposure.  If the Enron Business Unit does decide to hedge the exposure, the execution of any derivative contracts shall be executed through the interest rate desk in the Trading Portfolio, and both sides of the transaction appropriately accounted for in the Consolidated Position Report.</w:t>
      </w:r>
    </w:p>
    <w:p>
      <w:pPr>
        <w:pStyle w:val="Index2"/>
        <w:rPr/>
      </w:pPr>
      <w:r>
        <w:rPr/>
        <w:t xml:space="preserve">Foreign Currency Exchange Exposure - The Company is exposed to foreign currency exchange rate risk in the course of its normal business activities.   Foreign currency exposure in the Trading Portfolio and Merchant Portfolio </w:t>
      </w:r>
      <w:r>
        <w:rPr>
          <w:color w:val="0000FF"/>
        </w:rPr>
        <w:t>(and Retail Portfolio?)</w:t>
      </w:r>
      <w:r>
        <w:rPr/>
        <w:t xml:space="preserve"> shall be fully hedged with the foreign currency desk in the Trading Portfolio.  The Enron Business Units shall identify and measure foreign exchange exposure in the remaining Portfolios in a periodic report that is submitted to the respective Enron Business Unit Office of the Chairman for hedging decision making, and is also to be included in the Company’s Monthly Position Report and Consolidated Daily Position Report to enable the Company to quantify its consolidated foreign exchange exposure.  If the Enron Business Unit does decide to hedge the exposure, the execution of any derivative contracts shall be executed through the interest rate desk in the Trading Portfolio, and both sides of the transaction shall be appropriately accounted for in the Consolidated Position Report.</w:t>
      </w:r>
    </w:p>
    <w:p>
      <w:pPr>
        <w:pStyle w:val="Index2"/>
        <w:rPr/>
      </w:pPr>
      <w:r>
        <w:rPr/>
        <w:t>Significant unhedged interest rate and foreign currency exchange exposure, whether mark-to-market exposure or overall economic exposure, shall be reviewed by the Risk Committee to determine if the Enron Business Unit hedging strategy is consistent with corporate objectives.  The Risk Committee has the authority to (</w:t>
      </w:r>
      <w:r>
        <w:rPr>
          <w:color w:val="0000FF"/>
        </w:rPr>
        <w:t>instruct RAC to</w:t>
      </w:r>
      <w:r>
        <w:rPr/>
        <w:t>?) execute a hedge to resolve any intercompany conflicts and protect the Company’s financial position.</w:t>
      </w:r>
    </w:p>
    <w:p>
      <w:pPr>
        <w:pStyle w:val="Heading3"/>
        <w:numPr>
          <w:ilvl w:val="2"/>
          <w:numId w:val="6"/>
        </w:numPr>
        <w:rPr/>
      </w:pPr>
      <w:bookmarkStart w:id="20" w:name="__RefHeading___Toc516910264"/>
      <w:bookmarkEnd w:id="20"/>
      <w:r>
        <w:rPr/>
        <w:t>Risk Measurement for Market Risks</w:t>
      </w:r>
    </w:p>
    <w:p>
      <w:pPr>
        <w:pStyle w:val="Index3"/>
        <w:rPr/>
      </w:pPr>
      <w:r>
        <w:rPr/>
        <w:t>The Enron Business Units and Risk Management Operations (RMO) shall calculate each of the required risk metrics, and the results shall be provided to an independent risk controls group, Risk Assessment &amp; Control (RAC).  As no single risk statistic can reflect all aspects of market risk, these risk metrics shall be utilized in combination to provide an enhanced view of market risk exposure, producing a risk profile that is diverse, disciplined and flexible enough to capture the revenue generating opportunities not only during time of normal market moves but that also is prepared for periods of market turmoil.  The methodology and parameters employed in the application of these and other risk metrics shall be established by RAC to ensure best practices are employed in the Company’s risk management techniques and execution, and any change in the application of these risk metrics must be approved by RAC.   Although limits for each metric may not always be provided, the results of these risk metrics shall be considered in the Company’s capital allocation process.</w:t>
      </w:r>
    </w:p>
    <w:p>
      <w:pPr>
        <w:pStyle w:val="Index3"/>
        <w:rPr/>
      </w:pPr>
      <w:r>
        <w:rPr/>
      </w:r>
    </w:p>
    <w:p>
      <w:pPr>
        <w:pStyle w:val="Index3"/>
        <w:rPr/>
      </w:pPr>
      <w:r>
        <w:rPr/>
        <w:t>On a monthly basis, or as markets dictate, Enron Business Units and RMO shall provide evidence of verification of all market parameters used in the calculation of risk metrics and measurement of profits and losses, including but not limited to: price and volatility curve validation, correlation and risk factor validation, and benchmark conversion validation.  RAC shall oversee a model review process implemented by RMO that ensures model risk is minimized and risk measurements and valuations are accurate and reliable.  Evidence of verification of all significant model assumptions and inputs used for pricing structured transactions shall be provided as required by RAC, and Model Guidelines listed in Appendix ___ shall be followed in the preparation and maintenance of any valuation models. (</w:t>
      </w:r>
      <w:r>
        <w:rPr>
          <w:i/>
          <w:iCs/>
          <w:color w:val="0000FF"/>
        </w:rPr>
        <w:t>do these Model Guidelines need to be edited / added to for a thorough model vetting function for market risk issues? discuss w/Naveen</w:t>
      </w:r>
      <w:r>
        <w:rPr>
          <w:color w:val="0000FF"/>
        </w:rPr>
        <w:t>)</w:t>
      </w:r>
    </w:p>
    <w:p>
      <w:pPr>
        <w:pStyle w:val="Index3"/>
        <w:rPr>
          <w:color w:val="0000FF"/>
        </w:rPr>
      </w:pPr>
      <w:r>
        <w:rPr>
          <w:color w:val="0000FF"/>
        </w:rPr>
      </w:r>
    </w:p>
    <w:p>
      <w:pPr>
        <w:pStyle w:val="Index3"/>
        <w:rPr/>
      </w:pPr>
      <w:r>
        <w:rPr/>
        <w:t xml:space="preserve">RAC may require other risk metrics not specifically addressed in this Policy to sufficiently assess the Company’s risk, and accordingly, the Enron Business Units and RMO shall provide the necessary information to enhance this analysis.  </w:t>
      </w:r>
    </w:p>
    <w:p>
      <w:pPr>
        <w:pStyle w:val="Heading4"/>
        <w:numPr>
          <w:ilvl w:val="3"/>
          <w:numId w:val="6"/>
        </w:numPr>
        <w:ind w:hanging="0" w:start="0"/>
        <w:rPr/>
      </w:pPr>
      <w:bookmarkStart w:id="21" w:name="__RefHeading___Toc516910265"/>
      <w:bookmarkEnd w:id="21"/>
      <w:r>
        <w:rPr/>
        <w:t>Value-at-Risk</w:t>
      </w:r>
    </w:p>
    <w:p>
      <w:pPr>
        <w:pStyle w:val="Index4"/>
        <w:rPr/>
      </w:pPr>
      <w:r>
        <w:rPr/>
        <w:t>Value-at-Risk (VaR) is a key indicator of potential exposure from adverse market moves in a normal market environment.  VaR shall be calculated by Risk Management Operations daily or as otherwise required by the Enron Corp. Chief Risk Officer for positions within the Trading, Merchant and Capital Portfolios at aggregation levels corresponding to the Company’s limit structure.  Component VaR analysis shall be utilized to facilitate management of their positions’ exposure.  Statistical diagnostic review techniques such as back testing shall be performed monthly (</w:t>
      </w:r>
      <w:r>
        <w:rPr>
          <w:color w:val="0000FF"/>
        </w:rPr>
        <w:t>by RMO?</w:t>
      </w:r>
      <w:r>
        <w:rPr/>
        <w:t xml:space="preserve">) to enable RAC to continually evaluate the reasonableness of the VaR methodology employed.  Any measurement issues shall be promptly resolved to the satisfaction of RAC to ensure the VaR methodology reflects current market correlations and risk factors. </w:t>
      </w:r>
    </w:p>
    <w:p>
      <w:pPr>
        <w:pStyle w:val="Heading4"/>
        <w:numPr>
          <w:ilvl w:val="3"/>
          <w:numId w:val="6"/>
        </w:numPr>
        <w:ind w:hanging="0" w:start="0"/>
        <w:rPr>
          <w:sz w:val="24"/>
        </w:rPr>
      </w:pPr>
      <w:bookmarkStart w:id="22" w:name="__RefHeading___Toc516910266"/>
      <w:bookmarkEnd w:id="22"/>
      <w:r>
        <w:rPr/>
        <w:t>Stress Testing and Scenario Testing.</w:t>
      </w:r>
    </w:p>
    <w:p>
      <w:pPr>
        <w:pStyle w:val="Index4"/>
        <w:rPr/>
      </w:pPr>
      <w:r>
        <w:rPr/>
        <w:t>Stress testing is an indicator of potential exposure from sudden and extraordinary changes in market conditions, the Enron Business Units and RMO shall formulate and examine the effects of extreme changes in the market parameters relevant to exposures and positions in each of its Portfolios, at the level necessary to provide meaningful results (trader’s desk level, Commodity Group level, individual assets, etc.).    This stress testing and scenario analysis shall be used to capture price, basis, liquidity and volumetric risks associated with current or potential Portfolio positions, and shall be performed at least monthly, or as required by RAC.   Results may be determined by historic simulation, shifts of price or basis curves, shifts in VaR methodology parameters, or specified economic scenarios.   Risk measurement and analysis of each Portfolio’s option exposures shall include sensitivity analysis of position attributes including: delta, gamma, vega, theta, rho, and theoretical profit/loss versus price, volatility and time changes.</w:t>
      </w:r>
    </w:p>
    <w:p>
      <w:pPr>
        <w:pStyle w:val="Normal"/>
        <w:rPr/>
      </w:pPr>
      <w:r>
        <w:rPr/>
      </w:r>
    </w:p>
    <w:p>
      <w:pPr>
        <w:pStyle w:val="Index4"/>
        <w:rPr/>
      </w:pPr>
      <w:r>
        <w:rPr/>
        <w:t>Stress and scenario testing shall be applied, not only to the Trading Portfolio, but also to the Portfolios not encompassed in the Company’s VaR methodology framework.  Corporate stress tests based on historical and hypothetical economic events and systemic crises shall also be performed as required by the Chief Risk Officer.</w:t>
      </w:r>
    </w:p>
    <w:p>
      <w:pPr>
        <w:pStyle w:val="Normal"/>
        <w:rPr/>
      </w:pPr>
      <w:r>
        <w:rPr/>
      </w:r>
    </w:p>
    <w:p>
      <w:pPr>
        <w:pStyle w:val="Heading4"/>
        <w:numPr>
          <w:ilvl w:val="3"/>
          <w:numId w:val="6"/>
        </w:numPr>
        <w:ind w:hanging="0" w:start="0"/>
        <w:rPr/>
      </w:pPr>
      <w:bookmarkStart w:id="23" w:name="__RefHeading___Toc516910267"/>
      <w:bookmarkEnd w:id="23"/>
      <w:r>
        <w:rPr/>
        <w:t>Extreme Value Metrics</w:t>
      </w:r>
    </w:p>
    <w:p>
      <w:pPr>
        <w:pStyle w:val="Index4"/>
        <w:rPr/>
      </w:pPr>
      <w:r>
        <w:rPr/>
        <w:t xml:space="preserve">Extreme event risk is present in all areas of risk management, and it is important to measure this exposure in the Company’s Portfolio’s in support of the Risk Capital allocation process.  Extreme value theory shall be applied to the Trading Portfolio to provide benchmark measurements of potential exposure to extreme events based on statistical analysis of actual historical losses, events that would not be predicted by VaR.   Extreme VaR (EVaR) and Expected Tail Loss (ETL) shall be calculated daily or as otherwise required by RAC for Commodity Groups within the Trading Portfolio specified as having sufficient historical data, and at the Portfolio level.  </w:t>
      </w:r>
    </w:p>
    <w:p>
      <w:pPr>
        <w:pStyle w:val="Normal"/>
        <w:rPr/>
      </w:pPr>
      <w:r>
        <w:rPr/>
      </w:r>
    </w:p>
    <w:p>
      <w:pPr>
        <w:pStyle w:val="Heading4"/>
        <w:numPr>
          <w:ilvl w:val="3"/>
          <w:numId w:val="6"/>
        </w:numPr>
        <w:ind w:hanging="0" w:start="0"/>
        <w:rPr/>
      </w:pPr>
      <w:bookmarkStart w:id="24" w:name="__RefHeading___Toc516910268"/>
      <w:bookmarkEnd w:id="24"/>
      <w:r>
        <w:rPr/>
        <w:t>Net Open Position and Maturity/Gap Position</w:t>
      </w:r>
    </w:p>
    <w:p>
      <w:pPr>
        <w:pStyle w:val="Index4"/>
        <w:rPr/>
      </w:pPr>
      <w:r>
        <w:rPr/>
        <w:t>As indicators of volumetric exposure, nonstatistical risk metrics provide additional information on an exposure’s size and direction, and accordingly facilitate control and management of exposure that the other risk metrics may not adequately represent.  Net Open Position and Maturity/Gap Position shall be calculated daily or as otherwise required by RAC</w:t>
      </w:r>
      <w:r>
        <w:rPr>
          <w:color w:val="008000"/>
        </w:rPr>
        <w:t xml:space="preserve"> </w:t>
      </w:r>
      <w:r>
        <w:rPr/>
        <w:t>for Commodity Groups within the Portfolios, and at each Portfolio level, as applicable.  Metrics such as gross long position and gross short position shall also be calculated (</w:t>
      </w:r>
      <w:r>
        <w:rPr>
          <w:i/>
          <w:iCs/>
          <w:color w:val="0000FF"/>
        </w:rPr>
        <w:t>periodically?)</w:t>
      </w:r>
      <w:r>
        <w:rPr/>
        <w:t xml:space="preserve"> to facilitate the evaluation of specific market segment </w:t>
      </w:r>
      <w:r>
        <w:rPr>
          <w:lang w:val="en-US"/>
        </w:rPr>
        <w:t>liquidity</w:t>
      </w:r>
      <w:r>
        <w:rPr/>
        <w:t xml:space="preserve"> risk.  These risk metrics shall be calculated using Benchmark Position calculation methodology approved by RAC.</w:t>
      </w:r>
    </w:p>
    <w:p>
      <w:pPr>
        <w:pStyle w:val="Heading4"/>
        <w:numPr>
          <w:ilvl w:val="3"/>
          <w:numId w:val="6"/>
        </w:numPr>
        <w:ind w:hanging="0" w:start="0"/>
        <w:rPr/>
      </w:pPr>
      <w:bookmarkStart w:id="25" w:name="__RefHeading___Toc516910269"/>
      <w:bookmarkEnd w:id="25"/>
      <w:r>
        <w:rPr/>
        <w:t>Earnings at Risk (EaR)</w:t>
      </w:r>
    </w:p>
    <w:p>
      <w:pPr>
        <w:pStyle w:val="Index4"/>
        <w:rPr/>
      </w:pPr>
      <w:r>
        <w:rPr/>
        <w:t xml:space="preserve">Earnings at Risk (EaR) is a key risk measurement tool for those Portfolios not encompassed by the Company’s VaR methodology framework.  EaR shall be calculated for these Portfolios to determine the possible impact of commodity price or volume changes on earnings for a specified time horizon.  </w:t>
      </w:r>
    </w:p>
    <w:p>
      <w:pPr>
        <w:pStyle w:val="Index4"/>
        <w:rPr/>
      </w:pPr>
      <w:r>
        <w:rPr/>
        <w:t>(if EaR is a substitute when VaR doesn’t work, we need to define EaR as a measure of risk capital, so we can include in section 4 – return on capital at risk)</w:t>
      </w:r>
    </w:p>
    <w:p>
      <w:pPr>
        <w:pStyle w:val="Heading3"/>
        <w:numPr>
          <w:ilvl w:val="2"/>
          <w:numId w:val="6"/>
        </w:numPr>
        <w:rPr/>
      </w:pPr>
      <w:bookmarkStart w:id="26" w:name="__RefHeading___Toc516910270"/>
      <w:bookmarkEnd w:id="26"/>
      <w:r>
        <w:rPr/>
        <w:t>Limit Structure for Market Risks</w:t>
      </w:r>
    </w:p>
    <w:p>
      <w:pPr>
        <w:pStyle w:val="Index3"/>
        <w:rPr/>
      </w:pPr>
      <w:r>
        <w:rPr/>
        <w:t>The Company’s risk limit structure communicates the Company’s risk appetite as defined by the Enron Corp. Board of Directors.  Limits are used to promote the appropriate level of awareness by both Enron senior management and business unit personnel to ensure that risks are known, communicated and appropriately evaluated in light of the Company’s business and risk management objectives and strategies.</w:t>
      </w:r>
    </w:p>
    <w:p>
      <w:pPr>
        <w:pStyle w:val="Index3"/>
        <w:rPr/>
      </w:pPr>
      <w:r>
        <w:rPr/>
      </w:r>
    </w:p>
    <w:p>
      <w:pPr>
        <w:pStyle w:val="Index3"/>
        <w:rPr/>
      </w:pPr>
      <w:r>
        <w:rPr/>
        <w:t>Primary control of market risk is established through limits approved by the Enron Corp. Board of Directors, and by the Risk Committee and Enron Business Unit Office of the Chairman.  Criteria considered in establishing risk limits shall include, among other factors, relevant market analysis, market liquidity, prior track record, business strategy, trader experience, appropriate implementation of a trader level limit structure, risk management infrastructure, and the corresponding overall Operational Risk Rating defined in section ___ of this Policy.  The Enron Corp. Board of Directors may from time to time approve temporary limits to encompass certain specific approved positions; any such restrictions on time period of limits shall be noted in the Appendix ____ that discloses such limits.</w:t>
      </w:r>
    </w:p>
    <w:p>
      <w:pPr>
        <w:pStyle w:val="Index3"/>
        <w:rPr/>
      </w:pPr>
      <w:r>
        <w:rPr/>
      </w:r>
    </w:p>
    <w:p>
      <w:pPr>
        <w:pStyle w:val="Heading4"/>
        <w:numPr>
          <w:ilvl w:val="3"/>
          <w:numId w:val="6"/>
        </w:numPr>
        <w:ind w:hanging="0" w:start="0"/>
        <w:rPr/>
      </w:pPr>
      <w:bookmarkStart w:id="27" w:name="__RefHeading___Toc516910271"/>
      <w:r>
        <w:rPr/>
        <w:t>Market Risk Limits for the Trading Portfolio</w:t>
      </w:r>
      <w:bookmarkEnd w:id="27"/>
      <w:r>
        <w:rPr/>
        <w:t xml:space="preserve"> </w:t>
      </w:r>
    </w:p>
    <w:p>
      <w:pPr>
        <w:pStyle w:val="Index4"/>
        <w:rPr/>
      </w:pPr>
      <w:r>
        <w:rPr/>
        <w:t>The Company’s market risk limits described below shall be applied to the Trading Portfolio, at the aggregate portfolio, concentration and business unit levels, as well as at the trader level. The Company shall employ stop-loss advisories as noted in section ___ of this Policy to ensure the appropriate level of management awareness and action is triggered.  Position and limit violations shall be minimized through active monitoring of Positions and limits, and any violations rectified through immediate action by the authorized trader to comply with approved limits.</w:t>
      </w:r>
    </w:p>
    <w:p>
      <w:pPr>
        <w:pStyle w:val="Heading5"/>
        <w:numPr>
          <w:ilvl w:val="4"/>
          <w:numId w:val="6"/>
        </w:numPr>
        <w:ind w:hanging="0" w:start="0"/>
        <w:rPr/>
      </w:pPr>
      <w:r>
        <w:rPr/>
        <w:t>Portfolio Market Risk Limits (Portfolio Limits)</w:t>
      </w:r>
    </w:p>
    <w:p>
      <w:pPr>
        <w:pStyle w:val="Index5"/>
        <w:rPr/>
      </w:pPr>
      <w:r>
        <w:rPr/>
        <w:t>The Enron Corp. Board of Directors shall approve an aggregate VaR Limit for the Trading Portfolio and the Regulated Domestic Asset Portfolio, and a VaR limit for the Capital Portfolio, as specified in Appendix ____.   These limits are to be applied to the end of day’s positions.  Limits for the other Portfolios may be approved in the future as further risk measurement tools are developed.</w:t>
      </w:r>
    </w:p>
    <w:p>
      <w:pPr>
        <w:pStyle w:val="Heading5"/>
        <w:numPr>
          <w:ilvl w:val="4"/>
          <w:numId w:val="6"/>
        </w:numPr>
        <w:ind w:hanging="0" w:start="0"/>
        <w:rPr/>
      </w:pPr>
      <w:r>
        <w:rPr/>
        <w:t>Market Risk Concentration Limits for Trading Portfolio Only (Concentration Limits)</w:t>
      </w:r>
    </w:p>
    <w:p>
      <w:pPr>
        <w:pStyle w:val="Index5"/>
        <w:rPr/>
      </w:pPr>
      <w:r>
        <w:rPr/>
        <w:t xml:space="preserve">Approved Commodity Groups within the Trading Portfolio shall be aggregated into market Concentration Limits under a classification methodology that is approved by the Enron Corp. Board of Directors.  These Concentration Limits enable the Enron Corp. Board of Directors to limit the Company’s exposure to markets while providing management with the flexibility to establish and modify Enron Business Unit Limits and Commodity Group Limits as business strategies and markets change.  VaR </w:t>
      </w:r>
      <w:r>
        <w:rPr>
          <w:color w:val="0000FF"/>
        </w:rPr>
        <w:t>(and ETL?)</w:t>
      </w:r>
      <w:r>
        <w:rPr/>
        <w:t xml:space="preserve"> is </w:t>
      </w:r>
      <w:r>
        <w:rPr>
          <w:color w:val="0000FF"/>
        </w:rPr>
        <w:t xml:space="preserve">(are) </w:t>
      </w:r>
      <w:r>
        <w:rPr/>
        <w:t>the primary limit(</w:t>
      </w:r>
      <w:r>
        <w:rPr>
          <w:color w:val="0000FF"/>
        </w:rPr>
        <w:t>s</w:t>
      </w:r>
      <w:r>
        <w:rPr/>
        <w:t>) designated at the Concentration Limits level of the Trading Portfolio’s limit structure, and the amounts are specified in Appendix ____.  These limits are to be applied to the end of day’s positions.</w:t>
      </w:r>
    </w:p>
    <w:p>
      <w:pPr>
        <w:pStyle w:val="Index5"/>
        <w:rPr/>
      </w:pPr>
      <w:r>
        <w:rPr/>
      </w:r>
    </w:p>
    <w:p>
      <w:pPr>
        <w:pStyle w:val="Index5"/>
        <w:rPr/>
      </w:pPr>
      <w:r>
        <w:rPr/>
        <w:t>The Risk Committee shall ensure the Enron Business Unit Limits and Commodity Group Limits are allocated in a manner that provides for compliance with these Concentration Limits.  Section ___ of this Policy provides procedures to ensure Cross-Commodity Position authorization does not cause inadvertent violation of Concentration Limits.  A specific trader or Enron Business Unit Office of the Chairman shall be designated by the Risk Committee as responsible for each Concentration Limit.</w:t>
      </w:r>
    </w:p>
    <w:p>
      <w:pPr>
        <w:pStyle w:val="Index5"/>
        <w:rPr/>
      </w:pPr>
      <w:r>
        <w:rPr/>
      </w:r>
    </w:p>
    <w:p>
      <w:pPr>
        <w:pStyle w:val="Heading5"/>
        <w:numPr>
          <w:ilvl w:val="4"/>
          <w:numId w:val="6"/>
        </w:numPr>
        <w:ind w:hanging="0" w:start="0"/>
        <w:rPr/>
      </w:pPr>
      <w:r>
        <w:rPr/>
        <w:t>Enron Business Unit Market Risk Limits (Enron Business Unit Limits)</w:t>
      </w:r>
    </w:p>
    <w:p>
      <w:pPr>
        <w:pStyle w:val="Index5"/>
        <w:rPr/>
      </w:pPr>
      <w:r>
        <w:rPr/>
        <w:t xml:space="preserve">VaR </w:t>
      </w:r>
      <w:r>
        <w:rPr>
          <w:i/>
          <w:iCs/>
          <w:color w:val="0000FF"/>
        </w:rPr>
        <w:t>(and ETL?)</w:t>
      </w:r>
      <w:r>
        <w:rPr/>
        <w:t xml:space="preserve"> end of day results for the Trading Portfolio and for the Regulated Domestic Asset Portfolio, aggregated at the individual Enron Business Unit level, shall be compared against Enron Business Unit Limits determined by the Risk Committee and the Enron Corp. Chief Executive Officer.  These limits shall be reviewed at least quarterly, and can be modified by the Risk Committee and the President at any time, with the changes effective no earlier than the following trading day.  The aggregation of the Enron Business Unit Limits shall not exceed the aggregate Portfolio Limit approved by the Enron Corp. Board of Directors.  </w:t>
      </w:r>
    </w:p>
    <w:p>
      <w:pPr>
        <w:pStyle w:val="Normal"/>
        <w:rPr/>
      </w:pPr>
      <w:r>
        <w:rPr/>
      </w:r>
    </w:p>
    <w:p>
      <w:pPr>
        <w:pStyle w:val="Index5"/>
        <w:rPr/>
      </w:pPr>
      <w:r>
        <w:rPr/>
        <w:t>Although the initial allocation of limits considers the Company’s overall strategy and financial plan, the Risk Committee and the Enron Corp. Chief Executive Officer may elect not to allocate the entire Portfolio Limit, and consequently may hold back a certain amount of Risk Capital to enable the Risk Committee (</w:t>
      </w:r>
      <w:r>
        <w:rPr>
          <w:i/>
          <w:iCs/>
          <w:color w:val="0000FF"/>
        </w:rPr>
        <w:t>and the Enron Corp. Chief Executive Officer?</w:t>
      </w:r>
      <w:r>
        <w:rPr/>
        <w:t>) to flexibly adjust the Enron Business Unit Limits as current strategies and financial plans require.  The amount of Risk Capital available for temporary allocation by the Risk Committee (Discretionary VaR) is determined based upon the aggregation of Enron Business Unit Limits and Commodity Group Limits compared to Portfolio Limits and Concentration Limits, and considering the effect of portfolio diversification.   The allocation shall be effective no earlier than the trading day following the date of request.   Discretionary VaR allocation does not change the Enron Corp. Board of Directors approved Trading Portfolio Limit or Concentration Limits.</w:t>
      </w:r>
    </w:p>
    <w:p>
      <w:pPr>
        <w:pStyle w:val="Heading5"/>
        <w:numPr>
          <w:ilvl w:val="4"/>
          <w:numId w:val="6"/>
        </w:numPr>
        <w:ind w:hanging="0" w:start="0"/>
        <w:rPr/>
      </w:pPr>
      <w:r>
        <w:rPr/>
        <w:t>Commodity Group Market Risk Limits (Commodity Group Limits)</w:t>
      </w:r>
    </w:p>
    <w:p>
      <w:pPr>
        <w:pStyle w:val="Index5"/>
        <w:rPr/>
      </w:pPr>
      <w:r>
        <w:rPr/>
        <w:t>Each Enron Business Unit shall have designated Commodity Groups authorized by the Risk Committee.  Each Enron Business Unit Office of the Chairman shall authorize Commodity Group Limits subordinate to Portfolio Limits, Concentration Limits and Enron Business Unit Limits, subject to the following restrictions: i) Commodity Group Limits shall include Net Open Position limit, Maturity Gap Position limit, and VaR limit, with exceptions to the types of limits established to be approved by RAC, ii) these limits may be changed periodically, with any change effective the trading day following the day notification is made to the appropriate personnel in the following groups: Risk Committee, RAC and RMO, iii) the aggregation of the Commodity Group Limits shall not exceed the aggregate Portfolio Limit and Concentration Limits approved by the Enron Corp. Board of Directors; consequently, the establishment of Commodity Group Limits shall be coordinated with RAC to ensure correlations between Commodity Groups are adequately considered.</w:t>
      </w:r>
    </w:p>
    <w:p>
      <w:pPr>
        <w:pStyle w:val="Index5"/>
        <w:rPr/>
      </w:pPr>
      <w:r>
        <w:rPr/>
      </w:r>
    </w:p>
    <w:p>
      <w:pPr>
        <w:pStyle w:val="Index5"/>
        <w:rPr/>
      </w:pPr>
      <w:r>
        <w:rPr/>
        <w:t>Commodity Group Limits shall be monitored and act as triggers for action by traders and Enron Business Unit Office of the Chairman.   The delegation of approval of Commodity Group Limits to the Enron Business Units is intended to facilitate the pursuit of arbitrage opportunities and maximize profitability.   However, compliance with a Commodity Group Limit structure is a key requirement of this Policy; an inability to effectively administer this limit structure within the spirit of this Policy as determined by the Chief Risk Officer or his designee shall cause the Risk Committee to withdraw its delegation of Commodity Group approval authority from the Enron Business Unit.</w:t>
      </w:r>
    </w:p>
    <w:p>
      <w:pPr>
        <w:pStyle w:val="Heading5"/>
        <w:numPr>
          <w:ilvl w:val="4"/>
          <w:numId w:val="6"/>
        </w:numPr>
        <w:ind w:hanging="0" w:start="0"/>
        <w:rPr/>
      </w:pPr>
      <w:r>
        <w:rPr/>
        <w:t>Trader / Desk Level Limits (Trader / Desk Limits)</w:t>
      </w:r>
    </w:p>
    <w:p>
      <w:pPr>
        <w:pStyle w:val="Index5"/>
        <w:rPr/>
      </w:pPr>
      <w:r>
        <w:rPr/>
        <w:t>The Enron Business Units shall utilize a limit structure at the trader and/or desk level to support compliance with its Commodity Group Limit.  Head Traders’ effective utilization of these limits as risk management tools shall be considered in determining Operational Risk Ratings and allocation of Risk Capital via the establishment of Enron Business Unit Limits.</w:t>
      </w:r>
    </w:p>
    <w:p>
      <w:pPr>
        <w:pStyle w:val="Heading5"/>
        <w:numPr>
          <w:ilvl w:val="4"/>
          <w:numId w:val="6"/>
        </w:numPr>
        <w:ind w:hanging="0" w:start="0"/>
        <w:rPr/>
      </w:pPr>
      <w:r>
        <w:rPr/>
        <w:t>Regulated Exchange Limits</w:t>
      </w:r>
    </w:p>
    <w:p>
      <w:pPr>
        <w:pStyle w:val="Index5"/>
        <w:rPr/>
      </w:pPr>
      <w:r>
        <w:rPr/>
        <w:t>Enron Business Units may be subject to limits imposed by regulated exchanges on which they transact.  Enron Business Units shall comply with any such limits, as may be modified from time to time, and shall provide a monthly summary of compliance with such limits to the Chief Risk Officer or his designee.</w:t>
      </w:r>
    </w:p>
    <w:p>
      <w:pPr>
        <w:pStyle w:val="Normal"/>
        <w:rPr/>
      </w:pPr>
      <w:r>
        <w:rPr/>
      </w:r>
    </w:p>
    <w:p>
      <w:pPr>
        <w:pStyle w:val="Heading4"/>
        <w:numPr>
          <w:ilvl w:val="3"/>
          <w:numId w:val="6"/>
        </w:numPr>
        <w:ind w:hanging="0" w:start="0"/>
        <w:rPr/>
      </w:pPr>
      <w:bookmarkStart w:id="28" w:name="__RefHeading___Toc516910272"/>
      <w:bookmarkEnd w:id="28"/>
      <w:r>
        <w:rPr/>
        <w:t>Market Risk Limits for the Capital Portfolio</w:t>
      </w:r>
    </w:p>
    <w:p>
      <w:pPr>
        <w:pStyle w:val="Index5"/>
        <w:rPr/>
      </w:pPr>
      <w:r>
        <w:rPr/>
        <w:t>The Enron Corp. Board of Directors approves a VaR limit for the Capital Portfolio as specified in Appendix _____.    These limits are applied to the end of day’s positions.</w:t>
      </w:r>
    </w:p>
    <w:p>
      <w:pPr>
        <w:pStyle w:val="Normal"/>
        <w:rPr/>
      </w:pPr>
      <w:r>
        <w:rPr/>
      </w:r>
    </w:p>
    <w:p>
      <w:pPr>
        <w:pStyle w:val="Heading4"/>
        <w:numPr>
          <w:ilvl w:val="3"/>
          <w:numId w:val="6"/>
        </w:numPr>
        <w:ind w:hanging="0" w:start="0"/>
        <w:rPr/>
      </w:pPr>
      <w:bookmarkStart w:id="29" w:name="__RefHeading___Toc516910273"/>
      <w:bookmarkEnd w:id="29"/>
      <w:r>
        <w:rPr/>
        <w:t>Market Risk Limit Structure for Other Portfolios</w:t>
      </w:r>
    </w:p>
    <w:p>
      <w:pPr>
        <w:pStyle w:val="Index4"/>
        <w:rPr/>
      </w:pPr>
      <w:r>
        <w:rPr/>
        <w:t xml:space="preserve">The remaining Portfolios’ limit structures shall be evaluated as the further development of risk management data enables quantification of risks into a VaR measurement or EaR measurement, or combination thereof, thereby enabling the Chief Risk Officer to establish a meaningful limit structure to trigger management review and decision making.  </w:t>
      </w:r>
    </w:p>
    <w:p>
      <w:pPr>
        <w:pStyle w:val="Heading3"/>
        <w:numPr>
          <w:ilvl w:val="2"/>
          <w:numId w:val="6"/>
        </w:numPr>
        <w:rPr/>
      </w:pPr>
      <w:bookmarkStart w:id="30" w:name="__RefHeading___Toc516910274"/>
      <w:r>
        <w:rPr/>
        <w:t>Administration and Reporting of Market Risks</w:t>
      </w:r>
      <w:bookmarkEnd w:id="30"/>
      <w:r>
        <w:rPr/>
        <w:t xml:space="preserve"> </w:t>
      </w:r>
    </w:p>
    <w:p>
      <w:pPr>
        <w:pStyle w:val="Heading4"/>
        <w:numPr>
          <w:ilvl w:val="3"/>
          <w:numId w:val="6"/>
        </w:numPr>
        <w:ind w:hanging="0" w:start="0"/>
        <w:rPr/>
      </w:pPr>
      <w:bookmarkStart w:id="31" w:name="__RefHeading___Toc516910275"/>
      <w:bookmarkEnd w:id="31"/>
      <w:r>
        <w:rPr/>
        <w:t>Position Authorization and Policy Modifications</w:t>
      </w:r>
    </w:p>
    <w:p>
      <w:pPr>
        <w:pStyle w:val="Heading5"/>
        <w:numPr>
          <w:ilvl w:val="4"/>
          <w:numId w:val="6"/>
        </w:numPr>
        <w:ind w:hanging="0" w:start="0"/>
        <w:rPr/>
      </w:pPr>
      <w:r>
        <w:rPr>
          <w:rFonts w:eastAsia="Arial"/>
        </w:rPr>
        <w:t xml:space="preserve"> </w:t>
      </w:r>
      <w:r>
        <w:rPr/>
        <w:t>Authorized Commodity Groups and Products</w:t>
      </w:r>
    </w:p>
    <w:p>
      <w:pPr>
        <w:pStyle w:val="Index5"/>
        <w:rPr/>
      </w:pPr>
      <w:r>
        <w:rPr/>
        <w:t>RAC shall maintain a standard list of Commodity Groups authorized by the Risk Committee (</w:t>
      </w:r>
      <w:r>
        <w:rPr>
          <w:i/>
          <w:iCs/>
          <w:color w:val="0000FF"/>
        </w:rPr>
        <w:t>and the Chief Executive Officer?</w:t>
      </w:r>
      <w:r>
        <w:rPr/>
        <w:t>) to be traded within each Enron Business Unit, as well as a list of Risk Committee approved products that are authorized for trading within specific Commodity Groups.  The Chief Risk Officer or his designee shall determine whether changes to Authorized Products within specified Commodity Groups is a standard product easily combined with the other products in that respective group, or whether the product shall be submitted for new Commodity Group Limit approval as noted in section ___ of this Policy.</w:t>
      </w:r>
    </w:p>
    <w:p>
      <w:pPr>
        <w:pStyle w:val="Heading5"/>
        <w:numPr>
          <w:ilvl w:val="4"/>
          <w:numId w:val="6"/>
        </w:numPr>
        <w:ind w:hanging="0" w:start="0"/>
        <w:rPr/>
      </w:pPr>
      <w:r>
        <w:rPr/>
        <w:t xml:space="preserve">Cross-Commodity Transaction Authorization.   </w:t>
      </w:r>
    </w:p>
    <w:p>
      <w:pPr>
        <w:pStyle w:val="Index5"/>
        <w:rPr/>
      </w:pPr>
      <w:r>
        <w:rPr/>
        <w:t xml:space="preserve">Cross-Commodity Transactions are those transactions in a certain product for which the Head Trader of that Commodity Group does not have standard approval.  This may occur for a number of reasons as described herein, but certain procedures and reporting must be followed to ensure the Company’s aggregated commodity specific exposures are adequately monitored.  </w:t>
      </w:r>
    </w:p>
    <w:p>
      <w:pPr>
        <w:pStyle w:val="Index5"/>
        <w:rPr/>
      </w:pPr>
      <w:r>
        <w:rPr/>
      </w:r>
    </w:p>
    <w:p>
      <w:pPr>
        <w:pStyle w:val="Index5"/>
        <w:rPr/>
      </w:pPr>
      <w:r>
        <w:rPr/>
        <w:t xml:space="preserve">If in the ordinary course of its business an Enron Business Unit or trading desk incurs an exposure to an underlying commodity or financial instrument for which it does not have explicit authority to carry, this exposure should be hedged internally with the appropriate Enron desk(s), with appropriate notification to RAC.  Hedge positions should be instruments that have an observable correlation with the underlying exposure, and should be rebalanced regularly to substantially neutralize the underlying exposure.  </w:t>
      </w:r>
    </w:p>
    <w:p>
      <w:pPr>
        <w:pStyle w:val="Normal"/>
        <w:rPr/>
      </w:pPr>
      <w:r>
        <w:rPr/>
      </w:r>
    </w:p>
    <w:p>
      <w:pPr>
        <w:pStyle w:val="Index5"/>
        <w:rPr/>
      </w:pPr>
      <w:r>
        <mc:AlternateContent>
          <mc:Choice Requires="wps">
            <w:drawing>
              <wp:anchor behindDoc="0" distT="0" distB="0" distL="114935" distR="114935" simplePos="0" locked="0" layoutInCell="1" allowOverlap="1" relativeHeight="88">
                <wp:simplePos x="0" y="0"/>
                <wp:positionH relativeFrom="column">
                  <wp:posOffset>6681470</wp:posOffset>
                </wp:positionH>
                <wp:positionV relativeFrom="paragraph">
                  <wp:posOffset>594995</wp:posOffset>
                </wp:positionV>
                <wp:extent cx="387985" cy="676910"/>
                <wp:effectExtent l="0" t="0" r="0" b="0"/>
                <wp:wrapNone/>
                <wp:docPr id="3" name=""/>
                <a:graphic xmlns:a="http://schemas.openxmlformats.org/drawingml/2006/main">
                  <a:graphicData uri="http://schemas.microsoft.com/office/word/2010/wordprocessingShape">
                    <wps:wsp>
                      <wps:cNvSpPr txBox="1"/>
                      <wps:spPr>
                        <a:xfrm rot="10800000">
                          <a:off x="0" y="0"/>
                          <a:ext cx="388080" cy="676800"/>
                        </a:xfrm>
                        <a:prstGeom prst="rect">
                          <a:avLst/>
                        </a:prstGeom>
                        <a:noFill/>
                        <a:ln w="0">
                          <a:noFill/>
                        </a:ln>
                      </wps:spPr>
                      <wps:txbx>
                        <w:txbxContent>
                          <w:p>
                            <w:pPr>
                              <w:overflowPunct w:val="false"/>
                              <w:bidi w:val="0"/>
                              <w:rPr/>
                            </w:pPr>
                            <w:r>
                              <w:rPr>
                                <w:kern w:val="2"/>
                                <w:sz w:val="22"/>
                                <w:szCs w:val="20"/>
                                <w:rFonts w:ascii="Arial" w:hAnsi="Arial" w:eastAsia="Times New Roman" w:cs="Arial"/>
                                <w:color w:val="auto"/>
                                <w:lang w:val="en-GB" w:bidi="ar-SA"/>
                              </w:rPr>
                              <w:t>5A-5</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26.1pt;margin-top:46.85pt;width:30.5pt;height:53.25pt;mso-wrap-style:none;v-text-anchor:middle;rotation:180" type="_x0000_t202">
                <v:textbox>
                  <w:txbxContent>
                    <w:p>
                      <w:pPr>
                        <w:overflowPunct w:val="false"/>
                        <w:bidi w:val="0"/>
                        <w:rPr/>
                      </w:pPr>
                      <w:r>
                        <w:rPr>
                          <w:kern w:val="2"/>
                          <w:sz w:val="22"/>
                          <w:szCs w:val="20"/>
                          <w:rFonts w:ascii="Arial" w:hAnsi="Arial" w:eastAsia="Times New Roman" w:cs="Arial"/>
                          <w:color w:val="auto"/>
                          <w:lang w:val="en-GB" w:bidi="ar-SA"/>
                        </w:rPr>
                        <w:t>5A-5</w:t>
                      </w:r>
                    </w:p>
                  </w:txbxContent>
                </v:textbox>
                <v:fill o:detectmouseclick="t" on="false"/>
                <v:stroke color="#3465a4" joinstyle="round" endcap="flat"/>
                <w10:wrap type="none"/>
              </v:shape>
            </w:pict>
          </mc:Fallback>
        </mc:AlternateContent>
      </w:r>
      <w:r>
        <w:rPr/>
        <w:t>Upon notification to RAC, the Enron Business Unit Office of the Chairman who does have standard authority for that Commodity Group may authorize a specific trader in a different Commodity Group to take speculative positions with other trading desks in commodities and/or financial instruments other than those which that trader has standard authority to trade (i.e. the Business Unit Office of the Chairman for North American Natural Gas may authorize a trader in the Coal group to trade gas with the North American Natural Gas desk).    Significant Cross-Commodity Transactions shall be coordinated with the Head Trader who has standard authority to trade that commodity in order to facilitate compliance with Concentration Limits.</w:t>
      </w:r>
    </w:p>
    <w:p>
      <w:pPr>
        <w:pStyle w:val="Heading5"/>
        <w:numPr>
          <w:ilvl w:val="4"/>
          <w:numId w:val="6"/>
        </w:numPr>
        <w:ind w:hanging="0" w:start="0"/>
        <w:rPr/>
      </w:pPr>
      <w:r>
        <w:rPr/>
        <w:t xml:space="preserve">New Commodity Groups </w:t>
      </w:r>
    </w:p>
    <w:p>
      <w:pPr>
        <w:pStyle w:val="Index4"/>
        <w:rPr/>
      </w:pPr>
      <w:r>
        <w:rPr/>
        <w:t>The Risk Committee (</w:t>
      </w:r>
      <w:r>
        <w:rPr>
          <w:i/>
          <w:iCs/>
          <w:color w:val="0000FF"/>
        </w:rPr>
        <w:t>and the Chief Executive Officer?)</w:t>
      </w:r>
      <w:r>
        <w:rPr/>
        <w:t xml:space="preserve"> may approve a new Commodity Group subject to the following criteria: i) maximum VaR of $1 </w:t>
      </w:r>
      <w:r>
        <w:rPr>
          <w:color w:val="0000FF"/>
        </w:rPr>
        <w:t>($2?)</w:t>
      </w:r>
      <w:r>
        <w:rPr/>
        <w:t xml:space="preserve"> million, along with other corresponding applicable limits, and ii) maximum initial term of one year prior to mandatory review by the Risk Committee.  These interim limits adjust the Limit Violation and Loss Notification requirements at the Commodity Group level until the granted limits expire, but they do not change the respective Enron Business Unit Limit or Concentration Limit or Portfolio Limit.  </w:t>
      </w:r>
    </w:p>
    <w:p>
      <w:pPr>
        <w:pStyle w:val="Heading5"/>
        <w:numPr>
          <w:ilvl w:val="4"/>
          <w:numId w:val="6"/>
        </w:numPr>
        <w:ind w:hanging="0" w:start="0"/>
        <w:rPr/>
      </w:pPr>
      <w:r>
        <w:rPr/>
        <w:t xml:space="preserve">Limit Changes and Other Policy Amendments </w:t>
      </w:r>
    </w:p>
    <w:p>
      <w:pPr>
        <w:pStyle w:val="Index5"/>
        <w:rPr/>
      </w:pPr>
      <w:r>
        <w:rPr/>
        <w:t>Any explicit modification of Concentration Limits or other amendments, supplements or updates to this Policy, other than those modifications specifically addressed in this Policy, must be approved by the Enron Corp. Board of Directors.  The Risk Committee is authorized to interpret and clarify this Policy in compliance with the Policy’s stated objectives between meetings of the Board of Directors.</w:t>
      </w:r>
      <w:r>
        <w:rPr>
          <w:color w:val="3366FF"/>
        </w:rPr>
        <w:t xml:space="preserve"> </w:t>
      </w:r>
      <w:r>
        <w:rPr/>
        <w:t>The following Appendices may be revised on an ongoing basis by the respective functional head to continually apply best practices; personnel reviewing these Appendices should request current versions at the time of their application: i) Fundamental Operating Standards, ii) Segregation of Duties,</w:t>
      </w:r>
    </w:p>
    <w:p>
      <w:pPr>
        <w:pStyle w:val="Index5"/>
        <w:rPr/>
      </w:pPr>
      <w:r>
        <w:rPr/>
        <w:t>iii) Minimum Cash Control Standards, and iv) Model Guidelines.</w:t>
      </w:r>
    </w:p>
    <w:p>
      <w:pPr>
        <w:pStyle w:val="Normal"/>
        <w:rPr/>
      </w:pPr>
      <w:r>
        <w:rPr/>
      </w:r>
    </w:p>
    <w:p>
      <w:pPr>
        <w:pStyle w:val="Index5"/>
        <w:rPr>
          <w:i/>
          <w:i/>
          <w:iCs/>
          <w:color w:val="0000FF"/>
        </w:rPr>
      </w:pPr>
      <w:r>
        <w:rPr>
          <w:rFonts w:eastAsia="Arial"/>
          <w:i/>
          <w:iCs/>
          <w:color w:val="0000FF"/>
        </w:rPr>
        <w:t xml:space="preserve"> </w:t>
      </w:r>
      <w:r>
        <w:rPr>
          <w:i/>
          <w:iCs/>
          <w:color w:val="0000FF"/>
        </w:rPr>
        <w:t>(can we do this?  just trying to avoid restricting the timing of when these standards can be updated  - but I think the information in at least the Fundamental Operating Standards and Segregation of Duties might be helpful to include directly in the Policy or in the appendix, as the Traders and RMO are required to read the policy)</w:t>
      </w:r>
    </w:p>
    <w:p>
      <w:pPr>
        <w:pStyle w:val="EndnoteText"/>
        <w:rPr>
          <w:i/>
          <w:i/>
          <w:iCs/>
          <w:color w:val="0000FF"/>
        </w:rPr>
      </w:pPr>
      <w:r>
        <w:rPr>
          <w:i/>
          <w:iCs/>
          <w:color w:val="0000FF"/>
        </w:rPr>
      </w:r>
    </w:p>
    <w:p>
      <w:pPr>
        <w:pStyle w:val="Heading4"/>
        <w:numPr>
          <w:ilvl w:val="3"/>
          <w:numId w:val="6"/>
        </w:numPr>
        <w:ind w:hanging="0" w:start="0"/>
        <w:rPr/>
      </w:pPr>
      <w:bookmarkStart w:id="32" w:name="__RefHeading___Toc516910276"/>
      <w:r>
        <w:rPr/>
        <w:t>Position Reporting.</w:t>
      </w:r>
      <w:bookmarkEnd w:id="32"/>
      <w:r>
        <w:rPr/>
        <w:t xml:space="preserve">  </w:t>
      </w:r>
    </w:p>
    <w:p>
      <w:pPr>
        <w:pStyle w:val="Index4"/>
        <w:rPr>
          <w:lang w:val="en-CA" w:eastAsia="en-CA"/>
        </w:rPr>
      </w:pPr>
      <w:r>
        <w:rPr>
          <w:lang w:val="en-CA" w:eastAsia="en-CA"/>
        </w:rPr>
        <w:t xml:space="preserve">A key objective of the Company’s enterprise wide risk management framework is to provide a comprehensive view of how the Company is positioned compared to various markets and exposures.  This is only achieved if the risks inherent in all of the Portfolios are measured and reported in a meaningful fashion that facilitates implementation of corporate risk mitigation strategies and supports informed decision making.  Consequently, this Policy requires reporting as described below; these requirements may be modified by RAC on an ongoing basis to ensure best practices are employed throughout the Company.  </w:t>
      </w:r>
    </w:p>
    <w:p>
      <w:pPr>
        <w:pStyle w:val="Index4"/>
        <w:rPr/>
      </w:pPr>
      <w:r>
        <w:rPr>
          <w:lang w:val="en-CA" w:eastAsia="en-CA"/>
        </w:rPr>
        <w:t xml:space="preserve">This reporting is the responsibility of RMO on behalf of the Enron Business Units, and each individual responsible for compliance with a specific limit shall review the reporting for which they are responsible, prior to commencement of the next day’s trading activities to ensure they consider their position in determining their strategy for the upcoming day’s activity.   </w:t>
      </w:r>
      <w:r>
        <w:rPr/>
        <w:t xml:space="preserve">The Chief Risk Officer or his designee shall approve the individuals authorized to view the Company’s position reports. </w:t>
      </w:r>
      <w:r>
        <w:rPr>
          <w:i/>
          <w:iCs/>
          <w:color w:val="0000FF"/>
        </w:rPr>
        <w:t xml:space="preserve"> (this does not explicitly require physical sign off of the DPRs – do we need that? )</w:t>
      </w:r>
    </w:p>
    <w:p>
      <w:pPr>
        <w:pStyle w:val="Heading5"/>
        <w:numPr>
          <w:ilvl w:val="4"/>
          <w:numId w:val="6"/>
        </w:numPr>
        <w:ind w:hanging="0" w:start="0"/>
        <w:rPr/>
      </w:pPr>
      <w:r>
        <w:rPr/>
        <w:t>Mark-to-Market Daily Position Report</w:t>
      </w:r>
    </w:p>
    <w:p>
      <w:pPr>
        <w:pStyle w:val="Index5"/>
        <w:rPr/>
      </w:pPr>
      <w:r>
        <w:rPr/>
        <w:t>For the Trading, Merchant and Capital Portfolios, RMO shall jointly prepare, distribute and make available data constituting a daily report(s) (Mark-to-Market Daily Position Report) on an Enron consolidated basis, disclosing the Concentration Limits, Enron Business Unit Limits, and Commodity Group level sub-limits compared to the corresponding actual results, as well any other risk parameters as may be required by RAC. For purposes of limit monitoring and aggregation of the Company’s consolidated results for the Trading, Merchant and Capital Portfolios, and to facilitate compliance with the Concentration Limits approved by the Board of Directors, the Company’s Mark-to-Market Daily Position Report shall include positions consolidated across the company regardless of which business unit undertook the trading activity.</w:t>
      </w:r>
    </w:p>
    <w:p>
      <w:pPr>
        <w:pStyle w:val="Heading5"/>
        <w:numPr>
          <w:ilvl w:val="4"/>
          <w:numId w:val="6"/>
        </w:numPr>
        <w:ind w:hanging="0" w:start="0"/>
        <w:rPr/>
      </w:pPr>
      <w:r>
        <w:rPr/>
        <w:t>Commodity Group Daily Position Report</w:t>
      </w:r>
    </w:p>
    <w:p>
      <w:pPr>
        <w:pStyle w:val="Index5"/>
        <w:rPr/>
      </w:pPr>
      <w:r>
        <w:rPr/>
        <w:t>The Company’s consolidated Mark-to-Market Daily Position Report referred to above shall be derived from the Enron Business Units’ own individual Commodity Group Daily Position Reports that disclose the following: i) Enron Business Unit Limits and corresponding actual results, ii) Commodity Group Limits and corresponding actual results; iii) Commodity Group results aggregated across the Company within the Trading Portfolio used to support the reporting of Concentration Limits, and iv) Trader/Desk Limits and corresponding actual results. The aggregated Commodity Group results shall be reported by the Enron Business Unit who has standard authority to trade that product, and to facilitate compliance with the Concentration Limits, each Head Trader in that business unit shall coordinate strategies and trading positions with the traders in other Enron Business Units who have Cross-Commodity Position Authorization as provided for in section ____ of this Policy.</w:t>
      </w:r>
    </w:p>
    <w:p>
      <w:pPr>
        <w:pStyle w:val="Normal"/>
        <w:rPr/>
      </w:pPr>
      <w:r>
        <w:rPr/>
      </w:r>
    </w:p>
    <w:p>
      <w:pPr>
        <w:pStyle w:val="Index5"/>
        <w:rPr/>
      </w:pPr>
      <w:r>
        <w:rPr/>
        <w:t xml:space="preserve">The amounts by which the mark-to-market value of the Commodity Group can change for small (or unit) changes in all “market parameters”, as a term structure (i.e. by time “bucket”) and on a net aggregate basis shall be disclosed in this report, or in supporting schedules.  For portfolios with option or non-linear risks, the concentration of sensitivities (delta, gamma, vega) according to expiry date and strike price (“strike concentration”) shall also be disclosed in this report or in supporting schedules.  </w:t>
      </w:r>
    </w:p>
    <w:p>
      <w:pPr>
        <w:pStyle w:val="Normal"/>
        <w:rPr/>
      </w:pPr>
      <w:r>
        <w:rPr/>
      </w:r>
    </w:p>
    <w:p>
      <w:pPr>
        <w:pStyle w:val="Index5"/>
        <w:rPr/>
      </w:pPr>
      <w:r>
        <w:rPr/>
        <w:t>The Mark-to-Market Daily Position Report for the Regulated  Domestic Asset Portfolio shall not be provided to RMO or to Enron Business Units outside the Regulated Domestic Asset Portfolio.  This Portfolio’s report shall include all trading activity reported on a mark-to-market basis, regardless of the type of accounting actually applied to the transactions.</w:t>
      </w:r>
    </w:p>
    <w:p>
      <w:pPr>
        <w:pStyle w:val="Heading5"/>
        <w:numPr>
          <w:ilvl w:val="4"/>
          <w:numId w:val="6"/>
        </w:numPr>
        <w:ind w:hanging="0" w:start="0"/>
        <w:rPr/>
      </w:pPr>
      <w:r>
        <w:rPr/>
        <w:t>Monthly Position Report</w:t>
      </w:r>
    </w:p>
    <w:p>
      <w:pPr>
        <w:pStyle w:val="Index5"/>
        <w:rPr>
          <w:i/>
          <w:i/>
          <w:iCs/>
          <w:color w:val="0000FF"/>
        </w:rPr>
      </w:pPr>
      <w:r>
        <w:rPr/>
        <w:t>For the Other Assets and Contracts Portfolio and the Retail Portfolio, RMO shall prepare, distribute and make available data constituting a monthly report (Monthly Position Report) disclosing EaR and any other risk parameters required by RAC</w:t>
      </w:r>
      <w:r>
        <w:rPr>
          <w:color w:val="0000FF"/>
        </w:rPr>
        <w:t xml:space="preserve">.  </w:t>
      </w:r>
    </w:p>
    <w:p>
      <w:pPr>
        <w:pStyle w:val="Heading5"/>
        <w:numPr>
          <w:ilvl w:val="4"/>
          <w:numId w:val="6"/>
        </w:numPr>
        <w:ind w:hanging="0" w:start="0"/>
        <w:rPr/>
      </w:pPr>
      <w:r>
        <w:rPr/>
        <w:t>Consolidated Position Report</w:t>
      </w:r>
    </w:p>
    <w:p>
      <w:pPr>
        <w:pStyle w:val="Index5"/>
        <w:rPr/>
      </w:pPr>
      <w:r>
        <w:rPr>
          <w:lang w:val="en-CA" w:eastAsia="en-CA"/>
        </w:rPr>
        <w:t xml:space="preserve">RMO shall </w:t>
      </w:r>
      <w:r>
        <w:rPr/>
        <w:t>prepare, distribute and make available data constituting a consolidated daily report (Consolidated Position Report) that represents the combined risk metrics of exposures included in i) the current Mark-to-Market Daily Position Report and ii) the most current Monthly Position Report for all Portfolios except the Regulated Domestic Asset Portfolio.  This consolidation shall be performed to the extent it increases the transparency of the Company’s consolidated risk profile to specific market exposures</w:t>
      </w:r>
      <w:r>
        <w:rPr>
          <w:i/>
          <w:iCs/>
        </w:rPr>
        <w:t>.</w:t>
      </w:r>
      <w:r>
        <w:rPr>
          <w:i/>
          <w:iCs/>
          <w:color w:val="0000FF"/>
        </w:rPr>
        <w:t xml:space="preserve">  </w:t>
      </w:r>
    </w:p>
    <w:p>
      <w:pPr>
        <w:pStyle w:val="Index5"/>
        <w:rPr/>
      </w:pPr>
      <w:r>
        <w:rPr/>
      </w:r>
    </w:p>
    <w:p>
      <w:pPr>
        <w:pStyle w:val="Heading4"/>
        <w:numPr>
          <w:ilvl w:val="3"/>
          <w:numId w:val="6"/>
        </w:numPr>
        <w:ind w:hanging="0" w:start="0"/>
        <w:rPr/>
      </w:pPr>
      <w:bookmarkStart w:id="33" w:name="__RefHeading___Toc516910277"/>
      <w:bookmarkEnd w:id="33"/>
      <w:r>
        <w:rPr/>
        <w:t>Limit Violation and Loss Notification Requirements</w:t>
      </w:r>
    </w:p>
    <w:p>
      <w:pPr>
        <w:pStyle w:val="Index4"/>
        <w:rPr/>
      </w:pPr>
      <w:r>
        <w:rPr/>
        <w:t>Portfolio Limits and Concentration Limits specified in Appendix ____, as well as the Enron Business Unit Limits and Commodity Group Limits shall be monitored by RMO and reported daily in the Mark-to-Market Daily Position Report, the Commodity Group Daily Position Report, and other supporting schedules disclosing prudency reserve activity. (</w:t>
      </w:r>
      <w:r>
        <w:rPr>
          <w:i/>
          <w:iCs/>
          <w:color w:val="0000FF"/>
        </w:rPr>
        <w:t>check with Georganne on terminology</w:t>
      </w:r>
      <w:r>
        <w:rPr/>
        <w:t>)  Actual results in excess of corresponding limits (Limit Violations), and losses in excess of corresponding stop-loss advisory limits (Limit Notifications) are to be reported as noted below.  The Head Trader responsible for compliance with the limits is responsible for providing a thorough explanation of any exceptions to the limit structure, including plans to get back in compliance.  Management is expected to modify its risk taking activities as quickly as possible to comply with the limits specified in this Policy.</w:t>
      </w:r>
    </w:p>
    <w:p>
      <w:pPr>
        <w:pStyle w:val="Index4"/>
        <w:rPr/>
      </w:pPr>
      <w:r>
        <w:rPr/>
        <w:t>Stress test results or other indicators of exposure may trigger a full review by RAC of a specific position or group of positions as determined necessary by the Chief Risk Officer or his designee.  Regardless of whether a Daily Loss or Cumulative 5-Day Loss has occurred as calculated according to this Policy, RAC may determine certain notifications regarding trading results are required.  A summary of such review along with corresponding recommendations may be presented to the Risk Committee for further consideration of adjustment of risk taking activities.</w:t>
      </w:r>
    </w:p>
    <w:p>
      <w:pPr>
        <w:pStyle w:val="Heading5"/>
        <w:numPr>
          <w:ilvl w:val="4"/>
          <w:numId w:val="6"/>
        </w:numPr>
        <w:ind w:hanging="0" w:start="0"/>
        <w:rPr/>
      </w:pPr>
      <w:r>
        <w:rPr/>
        <w:t xml:space="preserve">Portfolio Limit Monitoring and Reporting </w:t>
      </w:r>
    </w:p>
    <w:p>
      <w:pPr>
        <w:pStyle w:val="Index5"/>
        <w:rPr/>
      </w:pPr>
      <w:r>
        <w:rPr/>
        <w:t>If either i) aggregate VaR or aggregate Daily Loss for the Trading Portfolio exceeds the Portfolio Limit, or ii) if aggregate Cumulative 5-Day Loss for the Trading Portfolio exceeds (200%?) (</w:t>
      </w:r>
      <w:r>
        <w:rPr>
          <w:i/>
          <w:iCs/>
          <w:color w:val="0000FF"/>
        </w:rPr>
        <w:t>what is a good statistically based notification percentage for a 5-day? some type of 5-day VaR approximation?</w:t>
      </w:r>
      <w:r>
        <w:rPr/>
        <w:t>) of the Portfolio Limit, the occurrence shall be immediately reported to the following: the Chief Risk Officer and his designees, the Enron Wholesale Services Office of the Chairman, the Enron Corp. the President, the Enron Corp. Chief Executive Officer, the Chairman</w:t>
      </w:r>
      <w:r>
        <w:rPr>
          <w:color w:val="0000FF"/>
        </w:rPr>
        <w:t xml:space="preserve"> </w:t>
      </w:r>
      <w:r>
        <w:rPr/>
        <w:t xml:space="preserve">of </w:t>
      </w:r>
      <w:r>
        <w:rPr>
          <w:color w:val="0000FF"/>
        </w:rPr>
        <w:t>(the)</w:t>
      </w:r>
      <w:r>
        <w:rPr/>
        <w:t xml:space="preserve"> Enron Corp. (</w:t>
      </w:r>
      <w:r>
        <w:rPr>
          <w:color w:val="0000FF"/>
        </w:rPr>
        <w:t>Board of Directors?</w:t>
      </w:r>
      <w:r>
        <w:rPr/>
        <w:t xml:space="preserve">), and the Chairman of the Finance Committee of the Enron Corp. Board of Directors. </w:t>
      </w:r>
      <w:r>
        <w:rPr>
          <w:i/>
          <w:iCs/>
          <w:color w:val="0000FF"/>
        </w:rPr>
        <w:t>(do we want to have this requirement to call Winakur when statistically a daily loss should occur every month? do we want to raise the threshold for calls to him? while it didn’t happen that often historically, the increased flexibility in this new limit structure should result in increased VaR utilization and more frequent losses in excess of VaR)</w:t>
      </w:r>
    </w:p>
    <w:p>
      <w:pPr>
        <w:pStyle w:val="Normal"/>
        <w:rPr>
          <w:i/>
          <w:i/>
          <w:iCs/>
          <w:color w:val="0000FF"/>
        </w:rPr>
      </w:pPr>
      <w:r>
        <w:rPr>
          <w:i/>
          <w:iCs/>
          <w:color w:val="0000FF"/>
        </w:rPr>
      </w:r>
    </w:p>
    <w:p>
      <w:pPr>
        <w:pStyle w:val="Index5"/>
        <w:rPr/>
      </w:pPr>
      <w:r>
        <w:rPr/>
        <w:t>If either i) aggregate VaR or aggregate Daily Loss for the Regulated Domestic Asset Portfolio exceeds the Portfolio Limit, or ii) if aggregate Cumulative 5-Day Loss for the Regulated Domestic Asset Portfolio exceeds (200%?) of the Portfolio Limit, the occurrence shall be immediately reported to the following: the Chief Risk Officer and his designees, the respective Enron Business Unit Office of the Chairman, the Enron Corp. the President, and the Enron Corp. Chief Executive Officer,</w:t>
      </w:r>
    </w:p>
    <w:p>
      <w:pPr>
        <w:pStyle w:val="Normal"/>
        <w:rPr/>
      </w:pPr>
      <w:r>
        <w:rPr/>
      </w:r>
    </w:p>
    <w:p>
      <w:pPr>
        <w:pStyle w:val="Index5"/>
        <w:rPr/>
      </w:pPr>
      <w:r>
        <w:rPr/>
        <w:t>If either i) aggregate VaR or Net Open Position or aggregate Daily Loss for the Capital Portfolio exceeds the Portfolio Limit, or ii) if aggregate Cumulative 5-Day Loss for the Capital Portfolio exceeds (200%?) of the Portfolio Limit, the occurrence shall be immediately reported to the following: the Chief Risk Officer and his designees, the Enron Corp. the President, and the Enron Corp. Chief Executive Officer.</w:t>
      </w:r>
    </w:p>
    <w:p>
      <w:pPr>
        <w:pStyle w:val="Normal"/>
        <w:rPr/>
      </w:pPr>
      <w:r>
        <w:rPr/>
      </w:r>
    </w:p>
    <w:p>
      <w:pPr>
        <w:pStyle w:val="Index5"/>
        <w:rPr/>
      </w:pPr>
      <w:r>
        <mc:AlternateContent>
          <mc:Choice Requires="wps">
            <w:drawing>
              <wp:anchor behindDoc="0" distT="0" distB="0" distL="114935" distR="114935" simplePos="0" locked="0" layoutInCell="1" allowOverlap="1" relativeHeight="87">
                <wp:simplePos x="0" y="0"/>
                <wp:positionH relativeFrom="column">
                  <wp:posOffset>6681470</wp:posOffset>
                </wp:positionH>
                <wp:positionV relativeFrom="paragraph">
                  <wp:posOffset>113665</wp:posOffset>
                </wp:positionV>
                <wp:extent cx="92710" cy="676910"/>
                <wp:effectExtent l="0" t="0" r="0" b="0"/>
                <wp:wrapNone/>
                <wp:docPr id="4" name=""/>
                <a:graphic xmlns:a="http://schemas.openxmlformats.org/drawingml/2006/main">
                  <a:graphicData uri="http://schemas.microsoft.com/office/word/2010/wordprocessingShape">
                    <wps:wsp>
                      <wps:cNvSpPr txBox="1"/>
                      <wps:spPr>
                        <a:xfrm rot="10800000">
                          <a:off x="0" y="0"/>
                          <a:ext cx="92880" cy="676800"/>
                        </a:xfrm>
                        <a:prstGeom prst="rect">
                          <a:avLst/>
                        </a:prstGeom>
                        <a:noFill/>
                        <a:ln w="0">
                          <a:noFill/>
                        </a:ln>
                      </wps:spPr>
                      <wps:bodyPr/>
                    </wps:wsp>
                  </a:graphicData>
                </a:graphic>
              </wp:anchor>
            </w:drawing>
          </mc:Choice>
          <mc:Fallback>
            <w:pict>
              <v:shape id="shape_0" stroked="f" o:allowincell="f" style="position:absolute;margin-left:526.1pt;margin-top:8.95pt;width:7.25pt;height:53.25pt;mso-wrap-style:none;v-text-anchor:middle;rotation:180" type="_x0000_t202">
                <v:textbox>
                  <w:txbxContent>
                    <w:p>
                      <w:pPr>
                        <w:overflowPunct w:val="false"/>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w:pict>
          </mc:Fallback>
        </mc:AlternateContent>
      </w:r>
      <w:r>
        <w:rPr/>
        <w:t xml:space="preserve">All Portfolio Daily Loss Notifications and a summary of Limit Violations, along with an analysis of Enron’s market risks shall be reported to the Audit Committee and/or the Finance Committee of the Board of Directors by the Chief Risk Officer of Enron Corp. at all regularly scheduled Audit Committee and Finance Committee meetings.  </w:t>
      </w:r>
    </w:p>
    <w:p>
      <w:pPr>
        <w:pStyle w:val="Heading5"/>
        <w:numPr>
          <w:ilvl w:val="4"/>
          <w:numId w:val="6"/>
        </w:numPr>
        <w:ind w:hanging="0" w:start="0"/>
        <w:rPr/>
      </w:pPr>
      <w:r>
        <w:rPr/>
        <w:t xml:space="preserve">Concentration Limit Monitoring and Reporting </w:t>
      </w:r>
    </w:p>
    <w:p>
      <w:pPr>
        <w:pStyle w:val="Index5"/>
        <w:rPr/>
      </w:pPr>
      <w:r>
        <w:rPr/>
        <w:t>If VaR exceeds the corresponding Concentration Limit, causing a Limit Violation requirement, the occurrence shall be immediately reported to the notification list below identified in this section.</w:t>
      </w:r>
    </w:p>
    <w:p>
      <w:pPr>
        <w:pStyle w:val="Normal"/>
        <w:rPr/>
      </w:pPr>
      <w:r>
        <w:rPr/>
      </w:r>
    </w:p>
    <w:p>
      <w:pPr>
        <w:pStyle w:val="Index5"/>
        <w:rPr/>
      </w:pPr>
      <w:r>
        <w:rPr/>
        <w:t xml:space="preserve">If either i) a total net Daily Loss for the Commodity Groups assigned to specific Concentration Limits exceeds the respective Concentration Limit, </w:t>
      </w:r>
      <w:r>
        <w:rPr>
          <w:color w:val="0000FF"/>
        </w:rPr>
        <w:t>(or)</w:t>
      </w:r>
      <w:r>
        <w:rPr/>
        <w:t xml:space="preserve"> ii) a total net Cumulative 5-Day Loss for the Commodity Groups assigned to specific Concentration Limits exceed (200%?) of the corresponding Concentration limit, (</w:t>
      </w:r>
      <w:r>
        <w:rPr>
          <w:i/>
          <w:iCs/>
          <w:color w:val="0000FF"/>
        </w:rPr>
        <w:t>or iii) if the ETL exceeds ____% of the corresonding Concentration Limit?)</w:t>
      </w:r>
      <w:r>
        <w:rPr/>
        <w:t>, the occurrence shall be immediately reported to the notification list below identified in this section.</w:t>
      </w:r>
    </w:p>
    <w:p>
      <w:pPr>
        <w:pStyle w:val="Normal"/>
        <w:rPr/>
      </w:pPr>
      <w:r>
        <w:rPr/>
      </w:r>
    </w:p>
    <w:p>
      <w:pPr>
        <w:pStyle w:val="Index5"/>
        <w:rPr/>
      </w:pPr>
      <w:r>
        <w:rPr/>
        <w:t>Concentration Limit Loss Notification or Limit Violations shall be reported to the following: the Chief Risk Officer and his designees, the individual responsible for that Concentration Limit, the Enron Wholesale Services Office of the Chairman, the Enron Corp. President, and the Enron Corp. Chief Executive Officer.</w:t>
      </w:r>
    </w:p>
    <w:p>
      <w:pPr>
        <w:pStyle w:val="Heading5"/>
        <w:numPr>
          <w:ilvl w:val="4"/>
          <w:numId w:val="6"/>
        </w:numPr>
        <w:ind w:hanging="0" w:start="0"/>
        <w:rPr/>
      </w:pPr>
      <w:r>
        <w:rPr/>
        <w:t xml:space="preserve">Other Limit Monitoring and Reporting </w:t>
      </w:r>
    </w:p>
    <w:p>
      <w:pPr>
        <w:pStyle w:val="Index5"/>
        <w:rPr/>
      </w:pPr>
      <w:r>
        <w:rPr/>
        <w:t>If any Net Open Position, Maturity / Gap Position, VaR exceeds the corresponding limit, causing a Limit Violation requirement, the occurrence shall be immediately reported to the notification list below identified in this section.</w:t>
      </w:r>
    </w:p>
    <w:p>
      <w:pPr>
        <w:pStyle w:val="Normal"/>
        <w:rPr/>
      </w:pPr>
      <w:r>
        <w:rPr/>
      </w:r>
    </w:p>
    <w:p>
      <w:pPr>
        <w:pStyle w:val="Index5"/>
        <w:rPr/>
      </w:pPr>
      <w:r>
        <w:rPr/>
        <w:t xml:space="preserve">If either i) a Daily Loss exceeds the corresponding VaR limit, </w:t>
      </w:r>
      <w:r>
        <w:rPr>
          <w:color w:val="0000FF"/>
        </w:rPr>
        <w:t>or</w:t>
      </w:r>
      <w:r>
        <w:rPr/>
        <w:t xml:space="preserve"> ii) a Cumulative 5-Day Loss exceeds (200%?) of the corresponding VaR limit, (</w:t>
      </w:r>
      <w:r>
        <w:rPr>
          <w:i/>
          <w:iCs/>
          <w:color w:val="0000FF"/>
        </w:rPr>
        <w:t xml:space="preserve">or iii) if the ETL exceeds ____% of the corresonding Concentration Limit?), </w:t>
      </w:r>
      <w:r>
        <w:rPr/>
        <w:t>the occurrence shall be immediately reported to the notification list below in this section.</w:t>
      </w:r>
    </w:p>
    <w:p>
      <w:pPr>
        <w:pStyle w:val="Index5"/>
        <w:rPr/>
      </w:pPr>
      <w:r>
        <w:rPr/>
      </w:r>
    </w:p>
    <w:p>
      <w:pPr>
        <w:pStyle w:val="Index5"/>
        <w:rPr/>
      </w:pPr>
      <w:r>
        <w:rPr/>
        <w:t>Enron Business Unit Loss Notifications or Limit Violations shall be reported to the following: the Chief Risk Officer and his designees, the Enron Business Unit Office of the Chairman, the Enron Wholesale Services Office of the Chairman, the Enron Corp. President, and the Enron Corp. Chief Executive Officer. Commodity Group Loss Notifications or Limit Violations shall be reported to the following: the Chief Risk Officer and his designees, the Head Trader, the Enron Business Unit Office of the Chairman, and the Enron Wholesale Services Office of the Chairman.  Trader / Desk Loss Notifications or Limit Violations shall be reported to the Head Trader and to RAC.</w:t>
      </w:r>
    </w:p>
    <w:p>
      <w:pPr>
        <w:pStyle w:val="Heading2"/>
        <w:numPr>
          <w:ilvl w:val="1"/>
          <w:numId w:val="6"/>
        </w:numPr>
        <w:rPr/>
      </w:pPr>
      <w:bookmarkStart w:id="34" w:name="__RefHeading___Toc516910278"/>
      <w:bookmarkEnd w:id="34"/>
      <w:r>
        <w:rPr/>
        <w:t>Capital Associated with Credit Risk</w:t>
      </w:r>
    </w:p>
    <w:p>
      <w:pPr>
        <w:pStyle w:val="Normal"/>
        <w:rPr/>
      </w:pPr>
      <w:r>
        <w:rPr/>
      </w:r>
    </w:p>
    <w:p>
      <w:pPr>
        <w:pStyle w:val="Index2"/>
        <w:rPr/>
      </w:pPr>
      <w:r>
        <w:rPr>
          <w:color w:val="0000FF"/>
        </w:rPr>
        <w:t>(</w:t>
      </w:r>
      <w:r>
        <w:rPr>
          <w:i/>
          <w:iCs w:val="false"/>
          <w:color w:val="0000FF"/>
        </w:rPr>
        <w:t>work with Bradford to incorporate their policy</w:t>
      </w:r>
      <w:r>
        <w:rPr>
          <w:color w:val="0000FF"/>
        </w:rPr>
        <w:t>)</w:t>
      </w:r>
    </w:p>
    <w:p>
      <w:pPr>
        <w:pStyle w:val="Index2"/>
        <w:rPr/>
      </w:pPr>
      <w:r>
        <w:rPr/>
        <w:t>Credit Risk is the likelihood of economic loss due to default by a party to a contract.  Capital required to support credit risk should be quantified, administered and reported as noted in the following sections of this Policy.</w:t>
      </w:r>
    </w:p>
    <w:p>
      <w:pPr>
        <w:pStyle w:val="Heading3"/>
        <w:numPr>
          <w:ilvl w:val="2"/>
          <w:numId w:val="6"/>
        </w:numPr>
        <w:rPr/>
      </w:pPr>
      <w:bookmarkStart w:id="35" w:name="__RefHeading___Toc516910279"/>
      <w:bookmarkEnd w:id="35"/>
      <w:r>
        <w:rPr/>
        <w:t>Risk Measurement for Credit Risks</w:t>
      </w:r>
    </w:p>
    <w:p>
      <w:pPr>
        <w:pStyle w:val="Normal"/>
        <w:rPr/>
      </w:pPr>
      <w:r>
        <w:rPr/>
      </w:r>
    </w:p>
    <w:p>
      <w:pPr>
        <w:pStyle w:val="Heading3"/>
        <w:numPr>
          <w:ilvl w:val="2"/>
          <w:numId w:val="6"/>
        </w:numPr>
        <w:rPr/>
      </w:pPr>
      <w:bookmarkStart w:id="36" w:name="__RefHeading___Toc516910280"/>
      <w:bookmarkEnd w:id="36"/>
      <w:r>
        <w:rPr/>
        <w:t>Limit Structure for Credit Risks</w:t>
      </w:r>
    </w:p>
    <w:p>
      <w:pPr>
        <w:pStyle w:val="EndnoteText"/>
        <w:rPr/>
      </w:pPr>
      <w:r>
        <w:rPr/>
      </w:r>
    </w:p>
    <w:p>
      <w:pPr>
        <w:pStyle w:val="Heading3"/>
        <w:numPr>
          <w:ilvl w:val="2"/>
          <w:numId w:val="6"/>
        </w:numPr>
        <w:rPr/>
      </w:pPr>
      <w:bookmarkStart w:id="37" w:name="__RefHeading___Toc516910281"/>
      <w:bookmarkEnd w:id="37"/>
      <w:r>
        <w:rPr/>
        <w:t>Administration and Reporting for Credit Risks</w:t>
      </w:r>
    </w:p>
    <w:p>
      <w:pPr>
        <w:pStyle w:val="Normal"/>
        <w:rPr/>
      </w:pPr>
      <w:r>
        <w:rPr/>
      </w:r>
    </w:p>
    <w:p>
      <w:pPr>
        <w:pStyle w:val="Normal"/>
        <w:rPr/>
      </w:pPr>
      <w:r>
        <w:rPr/>
      </w:r>
    </w:p>
    <w:p>
      <w:pPr>
        <w:pStyle w:val="Heading2"/>
        <w:numPr>
          <w:ilvl w:val="1"/>
          <w:numId w:val="6"/>
        </w:numPr>
        <w:rPr/>
      </w:pPr>
      <w:bookmarkStart w:id="38" w:name="__RefHeading___Toc516910282"/>
      <w:bookmarkEnd w:id="38"/>
      <w:r>
        <w:rPr/>
        <w:t>Capital Associated with Operational Risk</w:t>
      </w:r>
    </w:p>
    <w:p>
      <w:pPr>
        <w:pStyle w:val="Index2"/>
        <w:rPr/>
      </w:pPr>
      <w:r>
        <w:rPr/>
        <w:t>Operational risk under this Policy is defined as the direct or indirect loss due to inadequate or failed internal processes, people and systems, or from external events.  It does not include strategic risk or reputational risk.  These losses may include the costs to fix the operational problem, payments to third parties, write downs, costs of near misses, latent losses and contingent losses.  The Company shall maintain a rigorous control environment to manage and control operational risk, and thereby protect the corporation from additional market and credit exposures arising from operational failures</w:t>
      </w:r>
    </w:p>
    <w:p>
      <w:pPr>
        <w:pStyle w:val="Heading3"/>
        <w:numPr>
          <w:ilvl w:val="2"/>
          <w:numId w:val="6"/>
        </w:numPr>
        <w:rPr/>
      </w:pPr>
      <w:bookmarkStart w:id="39" w:name="__RefHeading___Toc516910283"/>
      <w:bookmarkEnd w:id="39"/>
      <w:r>
        <w:rPr/>
        <w:t>Risk Measurement for Operational Risks</w:t>
      </w:r>
    </w:p>
    <w:p>
      <w:pPr>
        <w:pStyle w:val="Index3"/>
        <w:rPr/>
      </w:pPr>
      <w:r>
        <w:rPr/>
        <w:t>Due to the ambiguity inherent in the quantification of operational losses and costs, the Risk Committee shall assign an operational risk development team to clarify this definition and to further develop a framework to better quantify the Company’s operational risk.  Until quantitative parameters and metrics can be implemented for operational risk, operational risk will be assessed based on various qualitative guidelines resulting in an Operational Risk Rating determined by Risk Committee.  This rating shall be used in the Company’s capital allocation process, and shall be updated at least quarterly in conjunction with review of market risk limits.</w:t>
      </w:r>
    </w:p>
    <w:p>
      <w:pPr>
        <w:pStyle w:val="Heading4"/>
        <w:numPr>
          <w:ilvl w:val="3"/>
          <w:numId w:val="6"/>
        </w:numPr>
        <w:ind w:hanging="0" w:start="0"/>
        <w:rPr/>
      </w:pPr>
      <w:bookmarkStart w:id="40" w:name="__RefHeading___Toc516910284"/>
      <w:bookmarkEnd w:id="40"/>
      <w:r>
        <w:rPr/>
        <w:t>Fundamental Operating Standards and Segregation of Duties</w:t>
      </w:r>
    </w:p>
    <w:p>
      <w:pPr>
        <w:pStyle w:val="Index4"/>
        <w:rPr/>
      </w:pPr>
      <w:r>
        <w:rPr/>
        <w:t>The organizational structure for the origination, administration, review and approval of risk exposures is designed to provide a clear segregation of responsibility and accountability among risk taking and risk management personnel.  Enron Business Unit personnel are responsible for understanding and managing the risks in their business activities in compliance with this Policy.  RMO is responsible for effective implementation of the risk management framework and adherence to this Policy.  The independent risk management function, RAC, is responsible for oversight of the risk management activities throughout the Company to ensure compliance with the Policy.</w:t>
      </w:r>
    </w:p>
    <w:p>
      <w:pPr>
        <w:pStyle w:val="Index4"/>
        <w:rPr/>
      </w:pPr>
      <w:r>
        <w:rPr/>
        <w:t>Enron Business Units shall comply with the Company’s Fundamental Operating Standards listed in Appendix _____ as may be updated from time to time.   Risk Management Operations (RMO) has direct responsibility for middle office functions, and to maintain proper segregation of duties, RMO has dual reporting at the executive level to both the Enron Corp. Chief Accounting Officer and to the Enron Business Unit Office of the Chairman. (</w:t>
      </w:r>
      <w:r>
        <w:rPr>
          <w:i/>
          <w:iCs/>
          <w:color w:val="3366FF"/>
        </w:rPr>
        <w:t>discuss w/Kilchrist/Beck</w:t>
      </w:r>
      <w:r>
        <w:rPr/>
        <w:t>).  See section ___ of this Policy for roles and responsibilities under this risk management framework.  RMO’s guidelines on segregation of duties is listed in Appendix ____. (</w:t>
      </w:r>
      <w:r>
        <w:rPr>
          <w:i/>
          <w:iCs/>
          <w:color w:val="3366FF"/>
        </w:rPr>
        <w:t>do we simply want to incorporate in the Roles and Responsibilites section</w:t>
      </w:r>
      <w:r>
        <w:rPr/>
        <w:t>?)</w:t>
      </w:r>
    </w:p>
    <w:p>
      <w:pPr>
        <w:pStyle w:val="Index4"/>
        <w:rPr/>
      </w:pPr>
      <w:r>
        <w:rPr/>
        <w:t>(</w:t>
      </w:r>
      <w:r>
        <w:rPr>
          <w:i/>
          <w:iCs/>
        </w:rPr>
        <w:t>add to fundamental operating standards</w:t>
      </w:r>
      <w:r>
        <w:rPr/>
        <w:t xml:space="preserve">  “All trades executed on the telephone must be executed on telephones that are recorded electronically, and all trades executed over the internet must be executed with appropriate recording back up.”</w:t>
      </w:r>
    </w:p>
    <w:p>
      <w:pPr>
        <w:pStyle w:val="Index4"/>
        <w:rPr/>
      </w:pPr>
      <w:r>
        <w:rPr/>
        <w:t>(review segregation of duties attachment w/Ted – may need to reclassify RAC so not a support function if we include as an Appendix (should we incorporate details in roles and responsibilities section?))</w:t>
      </w:r>
    </w:p>
    <w:p>
      <w:pPr>
        <w:pStyle w:val="Heading4"/>
        <w:numPr>
          <w:ilvl w:val="3"/>
          <w:numId w:val="6"/>
        </w:numPr>
        <w:ind w:hanging="0" w:start="0"/>
        <w:rPr/>
      </w:pPr>
      <w:bookmarkStart w:id="41" w:name="__RefHeading___Toc516910285"/>
      <w:bookmarkEnd w:id="41"/>
      <w:r>
        <w:rPr/>
        <w:t>Code of Ethics</w:t>
      </w:r>
    </w:p>
    <w:p>
      <w:pPr>
        <w:pStyle w:val="Index4"/>
        <w:rPr/>
      </w:pPr>
      <w:r>
        <w:rPr/>
        <w:t>All employees of the Company shall transact business with the highest integrity and shall demonstrate ethical values.  Employees shall comply with the Company’s Code of Ethics in Appendix _____. (</w:t>
      </w:r>
      <w:r>
        <w:rPr>
          <w:i/>
          <w:iCs/>
          <w:color w:val="0000FF"/>
        </w:rPr>
        <w:t>check with Legal if OK to incorporate by reference or to put in Appendix</w:t>
      </w:r>
      <w:r>
        <w:rPr/>
        <w:t>)</w:t>
      </w:r>
    </w:p>
    <w:p>
      <w:pPr>
        <w:pStyle w:val="Heading4"/>
        <w:numPr>
          <w:ilvl w:val="3"/>
          <w:numId w:val="6"/>
        </w:numPr>
        <w:ind w:hanging="0" w:start="0"/>
        <w:rPr/>
      </w:pPr>
      <w:bookmarkStart w:id="42" w:name="__RefHeading___Toc516910286"/>
      <w:bookmarkEnd w:id="42"/>
      <w:r>
        <w:rPr/>
        <w:t>Self-Assessment</w:t>
      </w:r>
    </w:p>
    <w:p>
      <w:pPr>
        <w:pStyle w:val="Index4"/>
        <w:rPr/>
      </w:pPr>
      <w:r>
        <w:rPr/>
        <w:t xml:space="preserve">All Enron Business Units are required to perform self-assessments of operational risk.  This self-assessment shall include factors listing in the Operational Risk  Considerations in Appendix ____.  </w:t>
      </w:r>
    </w:p>
    <w:p>
      <w:pPr>
        <w:pStyle w:val="Index9"/>
        <w:numPr>
          <w:ilvl w:val="0"/>
          <w:numId w:val="4"/>
        </w:numPr>
        <w:ind w:hanging="0" w:start="0"/>
        <w:rPr/>
      </w:pPr>
      <w:r>
        <w:rPr/>
        <w:t>Cash collections review for verification of invoicing accuracy</w:t>
      </w:r>
    </w:p>
    <w:p>
      <w:pPr>
        <w:pStyle w:val="Index9"/>
        <w:numPr>
          <w:ilvl w:val="0"/>
          <w:numId w:val="4"/>
        </w:numPr>
        <w:ind w:hanging="0" w:start="0"/>
        <w:rPr/>
      </w:pPr>
      <w:r>
        <w:rPr/>
        <w:t>New and active deal data review for indication of portfolio turnover and operating activity in the confirmations and settlements functions</w:t>
      </w:r>
    </w:p>
    <w:p>
      <w:pPr>
        <w:pStyle w:val="Index9"/>
        <w:numPr>
          <w:ilvl w:val="0"/>
          <w:numId w:val="4"/>
        </w:numPr>
        <w:ind w:hanging="0" w:start="0"/>
        <w:rPr/>
      </w:pPr>
      <w:r>
        <w:rPr/>
        <w:t>Flash to actual adjustments review</w:t>
      </w:r>
    </w:p>
    <w:p>
      <w:pPr>
        <w:pStyle w:val="Index4"/>
        <w:rPr/>
      </w:pPr>
      <w:r>
        <w:rPr/>
        <w:t>(work with Apollo/Beck to beef up)</w:t>
      </w:r>
    </w:p>
    <w:p>
      <w:pPr>
        <w:pStyle w:val="Heading4"/>
        <w:numPr>
          <w:ilvl w:val="3"/>
          <w:numId w:val="6"/>
        </w:numPr>
        <w:ind w:hanging="0" w:start="0"/>
        <w:rPr/>
      </w:pPr>
      <w:bookmarkStart w:id="43" w:name="__RefHeading___Toc516910287"/>
      <w:bookmarkEnd w:id="43"/>
      <w:r>
        <w:rPr/>
        <w:t>Information Systems Support and Business Continuity Planning</w:t>
      </w:r>
    </w:p>
    <w:p>
      <w:pPr>
        <w:pStyle w:val="Index4"/>
        <w:rPr/>
      </w:pPr>
      <w:r>
        <w:rPr/>
        <w:t>The Company shall have adequate information systems available to support risk management activities.  Enron Business Units shall review all material risks associated with business disruption and establish prudent guidelines to ensure business continuity in case of operational failure of Enron On Line and other critical risk systems.</w:t>
      </w:r>
    </w:p>
    <w:p>
      <w:pPr>
        <w:pStyle w:val="Heading4"/>
        <w:numPr>
          <w:ilvl w:val="3"/>
          <w:numId w:val="6"/>
        </w:numPr>
        <w:ind w:hanging="0" w:start="0"/>
        <w:rPr/>
      </w:pPr>
      <w:bookmarkStart w:id="44" w:name="__RefHeading___Toc516910288"/>
      <w:bookmarkEnd w:id="44"/>
      <w:r>
        <w:rPr/>
        <w:t>Deal Oversight</w:t>
      </w:r>
    </w:p>
    <w:p>
      <w:pPr>
        <w:pStyle w:val="Index4"/>
        <w:rPr/>
      </w:pPr>
      <w:r>
        <w:rPr/>
        <w:t>Every position, active contract, investment, asset and liability, contingent or otherwise, shall have a clearly identified individual designated who is responsible for ongoing active management.  This responsibility must be actively managed until an approved hedging strategy is in place.  The designated employee’s supervisor is the second in line and automatically assumes responsibility for the management of that position in the absence of the designated employee.  Reorganizations, transfers, and employee turnover shall not interfere with the active management of all of the Company’s positions.</w:t>
      </w:r>
    </w:p>
    <w:p>
      <w:pPr>
        <w:pStyle w:val="Heading3"/>
        <w:numPr>
          <w:ilvl w:val="2"/>
          <w:numId w:val="6"/>
        </w:numPr>
        <w:rPr/>
      </w:pPr>
      <w:bookmarkStart w:id="45" w:name="__RefHeading___Toc516910289"/>
      <w:bookmarkEnd w:id="45"/>
      <w:r>
        <w:rPr/>
        <w:t>Limit Structure for Operational Risk</w:t>
      </w:r>
    </w:p>
    <w:p>
      <w:pPr>
        <w:pStyle w:val="Index3"/>
        <w:rPr/>
      </w:pPr>
      <w:r>
        <w:rPr/>
        <w:t xml:space="preserve">Operational risk limits may be developed in the future.  Meanwhile, to provide a means of allocating risk capital while considering operational risk, the Company shall develop and implement an Operational Risk Rating system that provides a rating to each Enron Business Unit and is customizable for specific transactions and lines of business.  This Operational Risk Rating shall be considered in the Risk Capital allocation process as specified in section ___ of this Policy.  </w:t>
      </w:r>
    </w:p>
    <w:p>
      <w:pPr>
        <w:pStyle w:val="Index3"/>
        <w:rPr/>
      </w:pPr>
      <w:r>
        <w:rPr/>
      </w:r>
    </w:p>
    <w:p>
      <w:pPr>
        <w:pStyle w:val="Index3"/>
        <w:rPr/>
      </w:pPr>
      <w:r>
        <w:rPr/>
        <w:t>Operational Risk Ratings shall be assessed by the Risk Committee based on the following factors, among others:</w:t>
      </w:r>
    </w:p>
    <w:p>
      <w:pPr>
        <w:pStyle w:val="Index3"/>
        <w:rPr/>
      </w:pPr>
      <w:r>
        <w:rPr/>
      </w:r>
    </w:p>
    <w:p>
      <w:pPr>
        <w:pStyle w:val="Index9"/>
        <w:numPr>
          <w:ilvl w:val="0"/>
          <w:numId w:val="8"/>
        </w:numPr>
        <w:ind w:hanging="0" w:start="0"/>
        <w:rPr/>
      </w:pPr>
      <w:r>
        <w:rPr/>
        <w:t xml:space="preserve">commitment to competence of personnel </w:t>
      </w:r>
    </w:p>
    <w:p>
      <w:pPr>
        <w:pStyle w:val="Index9"/>
        <w:numPr>
          <w:ilvl w:val="0"/>
          <w:numId w:val="4"/>
        </w:numPr>
        <w:ind w:hanging="0" w:start="0"/>
        <w:rPr/>
      </w:pPr>
      <w:r>
        <w:rPr/>
        <w:t>sufficient numbers of personnel with requisite skills, especially in the support functions</w:t>
      </w:r>
    </w:p>
    <w:p>
      <w:pPr>
        <w:pStyle w:val="Index9"/>
        <w:numPr>
          <w:ilvl w:val="0"/>
          <w:numId w:val="4"/>
        </w:numPr>
        <w:ind w:hanging="0" w:start="0"/>
        <w:rPr/>
      </w:pPr>
      <w:r>
        <w:rPr/>
        <w:t>appropriate response to limit structure and compliance with Policy</w:t>
      </w:r>
    </w:p>
    <w:p>
      <w:pPr>
        <w:pStyle w:val="Index9"/>
        <w:numPr>
          <w:ilvl w:val="0"/>
          <w:numId w:val="4"/>
        </w:numPr>
        <w:ind w:hanging="0" w:start="0"/>
        <w:rPr/>
      </w:pPr>
      <w:r>
        <w:rPr/>
        <w:t>adequate information system infrastructure</w:t>
      </w:r>
    </w:p>
    <w:p>
      <w:pPr>
        <w:pStyle w:val="Index9"/>
        <w:numPr>
          <w:ilvl w:val="0"/>
          <w:numId w:val="4"/>
        </w:numPr>
        <w:ind w:hanging="0" w:start="0"/>
        <w:rPr/>
      </w:pPr>
      <w:r>
        <w:rPr/>
        <w:t>management’s attitude toward risk management support functions</w:t>
      </w:r>
    </w:p>
    <w:p>
      <w:pPr>
        <w:pStyle w:val="Index9"/>
        <w:numPr>
          <w:ilvl w:val="0"/>
          <w:numId w:val="4"/>
        </w:numPr>
        <w:ind w:hanging="0" w:start="0"/>
        <w:rPr/>
      </w:pPr>
      <w:r>
        <w:rPr/>
        <w:t>frequency of interaction between support and commercial functions</w:t>
      </w:r>
    </w:p>
    <w:p>
      <w:pPr>
        <w:pStyle w:val="Index9"/>
        <w:numPr>
          <w:ilvl w:val="0"/>
          <w:numId w:val="4"/>
        </w:numPr>
        <w:ind w:hanging="0" w:start="0"/>
        <w:rPr/>
      </w:pPr>
      <w:r>
        <w:rPr/>
        <w:t>(</w:t>
      </w:r>
      <w:r>
        <w:rPr>
          <w:i/>
          <w:iCs/>
          <w:color w:val="0000FF"/>
        </w:rPr>
        <w:t>work with Apollo/Beck to beef up</w:t>
      </w:r>
      <w:r>
        <w:rPr/>
        <w:t>)</w:t>
      </w:r>
    </w:p>
    <w:p>
      <w:pPr>
        <w:pStyle w:val="Heading3"/>
        <w:numPr>
          <w:ilvl w:val="2"/>
          <w:numId w:val="6"/>
        </w:numPr>
        <w:rPr/>
      </w:pPr>
      <w:bookmarkStart w:id="46" w:name="__RefHeading___Toc516910290"/>
      <w:bookmarkEnd w:id="46"/>
      <w:r>
        <w:rPr/>
        <w:t>Administration and Reporting for Operational Risks</w:t>
      </w:r>
    </w:p>
    <w:p>
      <w:pPr>
        <w:pStyle w:val="Index3"/>
        <w:rPr/>
      </w:pPr>
      <w:r>
        <w:rPr/>
        <w:t>Reporting of operational risks shall be performed by RMO and reviewed with RAC at least monthly.</w:t>
      </w:r>
    </w:p>
    <w:p>
      <w:pPr>
        <w:pStyle w:val="Normal"/>
        <w:rPr/>
      </w:pPr>
      <w:r>
        <w:rPr/>
      </w:r>
    </w:p>
    <w:p>
      <w:pPr>
        <w:pStyle w:val="Heading1"/>
        <w:numPr>
          <w:ilvl w:val="0"/>
          <w:numId w:val="6"/>
        </w:numPr>
        <w:rPr/>
      </w:pPr>
      <w:bookmarkStart w:id="47" w:name="__RefHeading___Toc516910291"/>
      <w:bookmarkEnd w:id="47"/>
      <w:r>
        <w:rPr/>
        <w:t>Requests for Allocation of Risk Capital</w:t>
      </w:r>
    </w:p>
    <w:p>
      <w:pPr>
        <w:pStyle w:val="Index1"/>
        <w:rPr/>
      </w:pPr>
      <w:r>
        <w:rPr/>
        <w:t>Standard transactions include those that contain routine features and terms ordinarily executed and easily valued on a daily basis, and consequently automatically authorized under the market risk Portfolio Limits and executed in accordance with the credit risk procedures within this Policy.  Non-standard transactions include those that are unusual in some way or complex and require ad hoc consideration and specific approval as specified in section ____ of this Policy.  Any questions regarding whether a specific transaction is authorized or requires specific approval should be directed to upon commencement of negotiations.  Prior to execution, each transaction shall be analyzed sufficiently to enable the different types of risk to be identified and measured.</w:t>
      </w:r>
    </w:p>
    <w:p>
      <w:pPr>
        <w:pStyle w:val="Normal"/>
        <w:rPr/>
      </w:pPr>
      <w:r>
        <w:rPr/>
      </w:r>
    </w:p>
    <w:p>
      <w:pPr>
        <w:pStyle w:val="Normal"/>
        <w:rPr/>
      </w:pPr>
      <w:r>
        <w:rPr/>
        <w:t>(</w:t>
      </w:r>
      <w:r>
        <w:rPr>
          <w:i/>
          <w:iCs/>
          <w:color w:val="0000FF"/>
        </w:rPr>
        <w:t>discuss w/Gorte the terminology and concept of differentiating between transactions requiring specific approval and those that do not; do we have a problem with how we define Risk Capital?</w:t>
      </w:r>
      <w:r>
        <w:rPr/>
        <w:t>)</w:t>
      </w:r>
    </w:p>
    <w:p>
      <w:pPr>
        <w:pStyle w:val="Heading2"/>
        <w:numPr>
          <w:ilvl w:val="1"/>
          <w:numId w:val="6"/>
        </w:numPr>
        <w:rPr/>
      </w:pPr>
      <w:bookmarkStart w:id="48" w:name="__RefHeading___Toc516910292"/>
      <w:bookmarkEnd w:id="48"/>
      <w:r>
        <w:rPr/>
        <w:t>Portfolio Risk Capital</w:t>
      </w:r>
    </w:p>
    <w:p>
      <w:pPr>
        <w:pStyle w:val="Normal"/>
        <w:rPr/>
      </w:pPr>
      <w:r>
        <w:rPr/>
        <w:t>Market risk limits assigned at each level of the Company’s limit structure represent allocation of Risk Capital, and as such, a cost-benefit analysis shall be provided by the Enron Business Units and reviewed by RAC and by each of the relevant risk management functions for any new Commodity Group proposed or significant new product within a Commodity Group.  This analysis shall include not only the business strategy and summary of specific risks inherent in this business activity, but also an assessment of the incremental costs and stresses upon the risk management infrastructure necessary to adequately control risk in compliance with this Policy, with recognition given to additional strain to be placed upon the existing risk management environment and impact on operational risk.  RAC shall present its recommendations to the Risk Committee for final approval.  A similar analysis of the returns on Risk Capital for individual Commodity Groups and Portfolios shall be prepared on an ongoing basis to support the continued evaluation of the Risk Capital allocation process, as described in section ___ of this Policy.</w:t>
      </w:r>
    </w:p>
    <w:p>
      <w:pPr>
        <w:pStyle w:val="EndnoteText"/>
        <w:rPr/>
      </w:pPr>
      <w:r>
        <w:rPr/>
      </w:r>
    </w:p>
    <w:p>
      <w:pPr>
        <w:pStyle w:val="Heading2"/>
        <w:numPr>
          <w:ilvl w:val="1"/>
          <w:numId w:val="6"/>
        </w:numPr>
        <w:rPr/>
      </w:pPr>
      <w:bookmarkStart w:id="49" w:name="__RefHeading___Toc516910293"/>
      <w:bookmarkEnd w:id="49"/>
      <w:r>
        <w:rPr/>
        <w:t>Transaction Specific Risk Capital</w:t>
      </w:r>
    </w:p>
    <w:p>
      <w:pPr>
        <w:pStyle w:val="Normal"/>
        <w:rPr/>
      </w:pPr>
      <w:r>
        <w:rPr/>
        <w:t>Transactions determined to require specific approval are subject to the Company’s Transaction Approval Process disclosed in Appendix ____.  (</w:t>
      </w:r>
      <w:r>
        <w:rPr>
          <w:i/>
          <w:iCs/>
          <w:color w:val="0000FF"/>
        </w:rPr>
        <w:t>discuss verbiage w/Gorte</w:t>
      </w:r>
      <w:r>
        <w:rPr/>
        <w:t>)</w:t>
      </w:r>
    </w:p>
    <w:p>
      <w:pPr>
        <w:pStyle w:val="EndnoteText"/>
        <w:rPr/>
      </w:pPr>
      <w:r>
        <w:rPr/>
      </w:r>
    </w:p>
    <w:p>
      <w:pPr>
        <w:pStyle w:val="Heading1"/>
        <w:numPr>
          <w:ilvl w:val="0"/>
          <w:numId w:val="6"/>
        </w:numPr>
        <w:rPr/>
      </w:pPr>
      <w:bookmarkStart w:id="50" w:name="__RefHeading___Toc516910294"/>
      <w:bookmarkEnd w:id="50"/>
      <w:r>
        <w:rPr/>
        <w:t>Funds Management</w:t>
      </w:r>
    </w:p>
    <w:p>
      <w:pPr>
        <w:pStyle w:val="Normal"/>
        <w:rPr/>
      </w:pPr>
      <w:r>
        <w:rPr/>
        <w:t xml:space="preserve">Corporate liquidity and funding risk is contained through internal controls and procedures outlined in Appendix _____.   </w:t>
      </w:r>
      <w:r>
        <w:rPr>
          <w:i/>
          <w:iCs/>
          <w:color w:val="0000FF"/>
        </w:rPr>
        <w:t xml:space="preserve">(discuss funding/financing/cash flow forecasting w/Perkins  &amp; Despain).  </w:t>
      </w:r>
    </w:p>
    <w:p>
      <w:pPr>
        <w:pStyle w:val="Normal"/>
        <w:rPr>
          <w:i/>
          <w:i/>
          <w:iCs/>
          <w:color w:val="0000FF"/>
        </w:rPr>
      </w:pPr>
      <w:r>
        <w:rPr>
          <w:i/>
          <w:iCs/>
          <w:color w:val="0000FF"/>
        </w:rPr>
      </w:r>
    </w:p>
    <w:p>
      <w:pPr>
        <w:pStyle w:val="Index1"/>
        <w:rPr/>
      </w:pPr>
      <w:r>
        <w:rPr/>
        <w:t xml:space="preserve">- </w:t>
      </w:r>
      <w:r>
        <w:rPr>
          <w:i/>
          <w:iCs w:val="false"/>
          <w:color w:val="0000FF"/>
        </w:rPr>
        <w:t>should there be any limitation on derivatives impacting the debt portfolio? does the Capital Portfolio  VaR cover this?</w:t>
      </w:r>
    </w:p>
    <w:p>
      <w:pPr>
        <w:pStyle w:val="Index1"/>
        <w:rPr>
          <w:i/>
          <w:i/>
          <w:iCs w:val="false"/>
          <w:color w:val="0000FF"/>
        </w:rPr>
      </w:pPr>
      <w:r>
        <w:rPr>
          <w:i/>
          <w:iCs w:val="false"/>
          <w:color w:val="0000FF"/>
        </w:rPr>
        <w:t>- should there be any limits on margin calls at an aggregate level (limited to X% of working capital?)</w:t>
      </w:r>
    </w:p>
    <w:p>
      <w:pPr>
        <w:pStyle w:val="Heading2"/>
        <w:numPr>
          <w:ilvl w:val="1"/>
          <w:numId w:val="6"/>
        </w:numPr>
        <w:rPr/>
      </w:pPr>
      <w:bookmarkStart w:id="51" w:name="__RefHeading___Toc516910295"/>
      <w:bookmarkEnd w:id="51"/>
      <w:r>
        <w:rPr/>
        <w:t>Brokerage Accounts Administration</w:t>
      </w:r>
    </w:p>
    <w:p>
      <w:pPr>
        <w:pStyle w:val="Normal"/>
        <w:rPr/>
      </w:pPr>
      <w:r>
        <w:rPr/>
      </w:r>
    </w:p>
    <w:p>
      <w:pPr>
        <w:pStyle w:val="Index2"/>
        <w:rPr/>
      </w:pPr>
      <w:r>
        <w:rPr/>
        <w:t>Designated Enron Business Units periodically open trading accounts with clearing brokers to facilitate the conduct of their business. All openings or revisions of trading accounts with brokers shall be reviewed and approved by the Enron Corp. Chief Risk Officer or his designee(s).  The Company shall also notify the brokers of the names of personnel authorized to trade futures, options or other contracts on regulated exchanges, and update these authorizations periodically</w:t>
      </w:r>
    </w:p>
    <w:p>
      <w:pPr>
        <w:pStyle w:val="Heading3"/>
        <w:numPr>
          <w:ilvl w:val="2"/>
          <w:numId w:val="6"/>
        </w:numPr>
        <w:rPr/>
      </w:pPr>
      <w:bookmarkStart w:id="52" w:name="__RefHeading___Toc516910296"/>
      <w:bookmarkEnd w:id="52"/>
      <w:r>
        <w:rPr/>
        <w:t>Brokerage Accounts</w:t>
      </w:r>
    </w:p>
    <w:p>
      <w:pPr>
        <w:pStyle w:val="Index2"/>
        <w:rPr/>
      </w:pPr>
      <w:r>
        <w:rPr/>
        <w:t>Brokerage accounts require Enron legal review prior to execution of the brokerage agreement, and at least one Enron Business Unit officer and one RAC officer are required to open an account as per corporate resolution.  Brokers must be in compliance with Securities and Exchange Commission requirements, and any prime brokers must have written agreement executed with the Company that govern the clearing terms.  The Enron Business Units shall maintain a comprehensive file of open brokerage accounts including the purpose the account was opened and a list of Authorized Traders that was provided to broker.  Changes in Authorized Traders shall be communicated to the brokers as necessary.  All accounts shall be reviewed periodically to determine whether they are still active, and shall be closed if no longer needed. (</w:t>
      </w:r>
      <w:r>
        <w:rPr>
          <w:i/>
          <w:iCs w:val="false"/>
          <w:color w:val="0000FF"/>
        </w:rPr>
        <w:t>need to work w/Lowry &amp; Legal on process</w:t>
      </w:r>
      <w:r>
        <w:rPr/>
        <w:t>)</w:t>
      </w:r>
    </w:p>
    <w:p>
      <w:pPr>
        <w:pStyle w:val="Normal"/>
        <w:rPr/>
      </w:pPr>
      <w:r>
        <w:rPr/>
      </w:r>
    </w:p>
    <w:p>
      <w:pPr>
        <w:pStyle w:val="Heading1"/>
        <w:numPr>
          <w:ilvl w:val="0"/>
          <w:numId w:val="6"/>
        </w:numPr>
        <w:rPr/>
      </w:pPr>
      <w:bookmarkStart w:id="53" w:name="__RefHeading___Toc516910297"/>
      <w:r>
        <w:rPr/>
        <w:t>Roles and Responsibilities</w:t>
      </w:r>
      <w:bookmarkEnd w:id="53"/>
      <w:r>
        <w:rPr/>
        <w:t xml:space="preserve"> </w:t>
      </w:r>
    </w:p>
    <w:p>
      <w:pPr>
        <w:pStyle w:val="Index1"/>
        <w:rPr/>
      </w:pPr>
      <w:r>
        <w:rPr/>
        <w:t>Governance is the core construct around which this Policy is built; without an established reporting structure and defined responsibilities, the systems, methods and rules are of limited value.  Consequently, some of the key responsibilities for various functions within the Company’s overall risk management framework are described in this section.</w:t>
      </w:r>
    </w:p>
    <w:p>
      <w:pPr>
        <w:pStyle w:val="Heading2"/>
        <w:numPr>
          <w:ilvl w:val="1"/>
          <w:numId w:val="6"/>
        </w:numPr>
        <w:rPr>
          <w:lang w:val="en-AU"/>
        </w:rPr>
      </w:pPr>
      <w:bookmarkStart w:id="54" w:name="__RefHeading___Toc516910298"/>
      <w:bookmarkEnd w:id="54"/>
      <w:r>
        <w:rPr>
          <w:lang w:val="en-AU"/>
        </w:rPr>
        <w:t>Board of Directors</w:t>
      </w:r>
    </w:p>
    <w:p>
      <w:pPr>
        <w:pStyle w:val="Index2"/>
        <w:rPr/>
      </w:pPr>
      <w:r>
        <w:rPr/>
        <w:t xml:space="preserve">The Enron Corp. Board of Directors (Board) meets throughout the calendar year.  If issues requiring Board input and/or approval arise and cannot be deferred until the next regular meeting, the Board may hold additional meetings to address and resolve these issues.  Through the approval of market risk limits and specific transactions presented through the Transaction Approval Process, and through approval of this Policy, the Board ensures the Company’s risk taking activities are consistent with its strategies, and that Risk Capital is allocated accordingly. </w:t>
      </w:r>
      <w:r>
        <w:rPr>
          <w:i/>
          <w:iCs w:val="false"/>
          <w:color w:val="0000FF"/>
        </w:rPr>
        <w:t>(is the Board involved in any credit risk limit establishment?)</w:t>
      </w:r>
      <w:r>
        <w:rPr/>
        <w:t xml:space="preserve"> The Board is accountable, although indirectly, to the shareholders of Enron Corp..  Although the Board assumes overall responsibility for the management of the entity, it delegates the daily execution of this responsibility to Enron’s senior management.</w:t>
      </w:r>
    </w:p>
    <w:p>
      <w:pPr>
        <w:pStyle w:val="Index2"/>
        <w:rPr/>
      </w:pPr>
      <w:r>
        <w:rPr/>
        <w:t xml:space="preserve">The Board’s risk management responsibilities include, among others: </w:t>
      </w:r>
    </w:p>
    <w:p>
      <w:pPr>
        <w:pStyle w:val="Index9"/>
        <w:numPr>
          <w:ilvl w:val="0"/>
          <w:numId w:val="9"/>
        </w:numPr>
        <w:ind w:hanging="0" w:start="0"/>
        <w:rPr/>
      </w:pPr>
      <w:r>
        <w:rPr/>
        <w:t>Determining the Company’s risk appetite</w:t>
      </w:r>
    </w:p>
    <w:p>
      <w:pPr>
        <w:pStyle w:val="Index9"/>
        <w:numPr>
          <w:ilvl w:val="0"/>
          <w:numId w:val="4"/>
        </w:numPr>
        <w:ind w:hanging="0" w:start="0"/>
        <w:rPr/>
      </w:pPr>
      <w:r>
        <w:rPr/>
        <w:t xml:space="preserve">Approving overall risk limits (Concentration Limits and Portfolio Limits) to ensure that risk taking activities are consistent with their risk appetite </w:t>
      </w:r>
    </w:p>
    <w:p>
      <w:pPr>
        <w:pStyle w:val="Index9"/>
        <w:numPr>
          <w:ilvl w:val="0"/>
          <w:numId w:val="4"/>
        </w:numPr>
        <w:ind w:hanging="0" w:start="0"/>
        <w:rPr/>
      </w:pPr>
      <w:r>
        <w:rPr/>
        <w:t>Approving specific transactions in accordance with the Transaction Approval Process per section ____ of this Policy</w:t>
      </w:r>
    </w:p>
    <w:p>
      <w:pPr>
        <w:pStyle w:val="Index9"/>
        <w:numPr>
          <w:ilvl w:val="0"/>
          <w:numId w:val="4"/>
        </w:numPr>
        <w:ind w:hanging="0" w:start="0"/>
        <w:rPr/>
      </w:pPr>
      <w:r>
        <w:rPr/>
        <w:t>Reviewing and approving the Board’s Finance Committee and Audit Committee recommendations</w:t>
      </w:r>
    </w:p>
    <w:p>
      <w:pPr>
        <w:pStyle w:val="Heading3"/>
        <w:numPr>
          <w:ilvl w:val="2"/>
          <w:numId w:val="6"/>
        </w:numPr>
        <w:rPr/>
      </w:pPr>
      <w:bookmarkStart w:id="55" w:name="__RefHeading___Toc516910299"/>
      <w:bookmarkEnd w:id="55"/>
      <w:r>
        <w:rPr/>
        <w:t>Finance Committee of the Board of Directors (Finance Committee)</w:t>
      </w:r>
    </w:p>
    <w:p>
      <w:pPr>
        <w:pStyle w:val="Index3"/>
        <w:rPr/>
      </w:pPr>
      <w:r>
        <w:rPr/>
        <w:t xml:space="preserve">The Company’s Board delegates the review of the Company’s Risk Management Policy and related Board obligations under this Policy, especially in the area of Risk Capital allocation, to its Finance Committee.  The Finance Committee meets throughout the year, each time the Board is regularly scheduled to meet.  The Finance Committee is responsible for reviewing the risks incurred by the Company to ensure they are appropriate for the Company’s overall business strategies.  The Finance Committee’s recommendations are then presented to the Board for approval.  </w:t>
      </w:r>
    </w:p>
    <w:p>
      <w:pPr>
        <w:pStyle w:val="Index3"/>
        <w:rPr/>
      </w:pPr>
      <w:r>
        <w:rPr/>
      </w:r>
    </w:p>
    <w:p>
      <w:pPr>
        <w:pStyle w:val="Index3"/>
        <w:rPr/>
      </w:pPr>
      <w:r>
        <w:rPr/>
        <w:t>The Chief Risk Officer shall present a summary of market and credit risks to the Finance Committee at each regularly scheduled Finance Committee meeting to ensure the Board understands the risks inherent in the Company’s derivative activities.  This summary shall include a review of any significant changes to this Policy, as well as a summary of senior management’s recommendations regarding specific Risk Capital allocation issues.  The Chief Risk Officer shall also periodically report on achieved returns relative to expectations.  Certain reporting of Loss Notifications and Limit Violations in between meetings is directed to the Chairman of the Finance Committee as specified in section ____ of this Policy.</w:t>
      </w:r>
    </w:p>
    <w:p>
      <w:pPr>
        <w:pStyle w:val="Heading3"/>
        <w:numPr>
          <w:ilvl w:val="2"/>
          <w:numId w:val="6"/>
        </w:numPr>
        <w:rPr>
          <w:lang w:val="en-AU"/>
        </w:rPr>
      </w:pPr>
      <w:bookmarkStart w:id="56" w:name="__RefHeading___Toc516910300"/>
      <w:bookmarkEnd w:id="56"/>
      <w:r>
        <w:rPr>
          <w:lang w:val="en-AU"/>
        </w:rPr>
        <w:t>Audit Committee of the Board of Directors (Audit Committee)</w:t>
      </w:r>
    </w:p>
    <w:p>
      <w:pPr>
        <w:pStyle w:val="Index3"/>
        <w:rPr>
          <w:lang w:val="en-AU"/>
        </w:rPr>
      </w:pPr>
      <w:r>
        <w:rPr>
          <w:lang w:val="en-AU"/>
        </w:rPr>
        <w:t xml:space="preserve">The Company’s Board delegates certain responsibilities to its Audit Committee, in accordance with Securities and Exchange Commission requirements, and it meets at each regularly scheduled Board meeting.  The Audit Committee’s responsibilities under this Policy include review of the Company’s administration and compliance with the parameters established by this Policy.  Enron Assurance Services is the Company’s group responsible for the Company’s internal audit function as noted in section ___ of this Policy, and as such it reports directly to the Audit Committee and ensures the Audit Committee is briefed on the Company’s overall control environment and related issues.  </w:t>
      </w:r>
    </w:p>
    <w:p>
      <w:pPr>
        <w:pStyle w:val="Index3"/>
        <w:rPr>
          <w:lang w:val="en-AU"/>
        </w:rPr>
      </w:pPr>
      <w:r>
        <w:rPr>
          <w:lang w:val="en-AU"/>
        </w:rPr>
      </w:r>
    </w:p>
    <w:p>
      <w:pPr>
        <w:pStyle w:val="Index3"/>
        <w:rPr/>
      </w:pPr>
      <w:r>
        <w:rPr>
          <w:lang w:val="en-AU"/>
        </w:rPr>
        <w:t>The Chief Risk Officer shall present a summary of market risk limit notification and limit violation activity as well a summary of any significant changes to this Policy at each regularly scheduled Audit Committee meeting.   Enron Assurance Services shall present a summary of control issues at each regularly scheduled Audit Committee meeting. (</w:t>
      </w:r>
      <w:r>
        <w:rPr>
          <w:i/>
          <w:iCs/>
          <w:color w:val="0000FF"/>
          <w:lang w:val="en-AU"/>
        </w:rPr>
        <w:t>review w/Kilchrist</w:t>
      </w:r>
      <w:r>
        <w:rPr>
          <w:lang w:val="en-AU"/>
        </w:rPr>
        <w:t>)</w:t>
      </w:r>
    </w:p>
    <w:p>
      <w:pPr>
        <w:pStyle w:val="Heading2"/>
        <w:numPr>
          <w:ilvl w:val="1"/>
          <w:numId w:val="6"/>
        </w:numPr>
        <w:rPr>
          <w:lang w:val="en-AU"/>
        </w:rPr>
      </w:pPr>
      <w:bookmarkStart w:id="57" w:name="__RefHeading___Toc516910301"/>
      <w:bookmarkEnd w:id="57"/>
      <w:r>
        <w:rPr>
          <w:lang w:val="en-AU"/>
        </w:rPr>
        <w:t>Enron Corp. Chief Executive Officer (CEO)</w:t>
      </w:r>
    </w:p>
    <w:p>
      <w:pPr>
        <w:pStyle w:val="Index2"/>
        <w:rPr>
          <w:lang w:val="en-AU"/>
        </w:rPr>
      </w:pPr>
      <w:r>
        <w:rPr>
          <w:lang w:val="en-AU"/>
        </w:rPr>
        <w:t>The Enron Corp. Chief Executive Officer (CEO) has direct responsibility to the Board for execution and compliance with the Policy in support of the Board’s risk appetite.  The CEO delegates much of the responsibilities among various corporate and business unit functions, as defined herein.  The CEO retains direct responsibility for the following, among other things:</w:t>
      </w:r>
    </w:p>
    <w:p>
      <w:pPr>
        <w:pStyle w:val="Index9"/>
        <w:numPr>
          <w:ilvl w:val="0"/>
          <w:numId w:val="10"/>
        </w:numPr>
        <w:ind w:hanging="0" w:start="0"/>
        <w:rPr>
          <w:lang w:val="en-AU"/>
        </w:rPr>
      </w:pPr>
      <w:r>
        <w:rPr>
          <w:lang w:val="en-AU"/>
        </w:rPr>
        <w:t xml:space="preserve">Reviewing and approving the Risk Committee’s recommendations for the base Enron Business Unit Limits and Discretionary VaR; allocations of Discretionary VaR to the Enron Business Units is delegated to the Risk Committee </w:t>
      </w:r>
    </w:p>
    <w:p>
      <w:pPr>
        <w:pStyle w:val="Index9"/>
        <w:numPr>
          <w:ilvl w:val="0"/>
          <w:numId w:val="4"/>
        </w:numPr>
        <w:ind w:hanging="0" w:start="0"/>
        <w:rPr>
          <w:lang w:val="en-AU"/>
        </w:rPr>
      </w:pPr>
      <w:r>
        <w:rPr>
          <w:lang w:val="en-AU"/>
        </w:rPr>
        <w:t>Reviewing and approving transactions according to the Transaction Approval Process</w:t>
      </w:r>
    </w:p>
    <w:p>
      <w:pPr>
        <w:pStyle w:val="Heading2"/>
        <w:numPr>
          <w:ilvl w:val="1"/>
          <w:numId w:val="6"/>
        </w:numPr>
        <w:rPr/>
      </w:pPr>
      <w:bookmarkStart w:id="58" w:name="__RefHeading___Toc516910302"/>
      <w:bookmarkEnd w:id="58"/>
      <w:r>
        <w:rPr/>
        <w:t>Risk Committee of Senior Management (Risk Committee)</w:t>
      </w:r>
    </w:p>
    <w:p>
      <w:pPr>
        <w:pStyle w:val="Index2"/>
        <w:rPr/>
      </w:pPr>
      <w:r>
        <w:rPr/>
        <w:t xml:space="preserve">The Risk Committee’s membership includes the following: i) Enron Corp. Chief Risk Officer (Chief Risk Officer) and ii) the Chief Operating Officer of Enron Wholesale Services (COO of EWS) and/or other management representatives as determined by the Enron Corp. Chief Executive Officer.  The Risk Committee reports to the Enron Corp. Chief Executive Officer, and is responsible for establishing the overall market risk limit structure in support of the Board approved Portfolio Limits and Concentration Limits.  The Risk Committee defines the Company’s risk tolerance in accordance with the Board’s risk appetite, and ensures market and credit risks are adequately controlled in compliance with this Policy.  </w:t>
      </w:r>
    </w:p>
    <w:p>
      <w:pPr>
        <w:pStyle w:val="Index2"/>
        <w:rPr/>
      </w:pPr>
      <w:r>
        <w:rPr/>
        <w:t>The Risk Committee fulfills its risk management responsibilities through direct oversight and prudent delegation to both corporate and business unit personnel.  Formal meetings of the Risk Committee are not required; instead an ongoing dialogue among members regarding risk management issues shall be maintained to ensure appropriate involvement in the Company’s dynamic business activities.  Representatives from Risk Assessment and Control, Risk Management Operations and the Enron Business Units may be periodically called upon to make reports regarding specific risk management issues.</w:t>
      </w:r>
    </w:p>
    <w:p>
      <w:pPr>
        <w:pStyle w:val="Index2"/>
        <w:rPr/>
      </w:pPr>
      <w:r>
        <w:rPr/>
        <w:t>The Risk Committee’s responsibilities under this Policy include, among other things:</w:t>
      </w:r>
    </w:p>
    <w:p>
      <w:pPr>
        <w:pStyle w:val="Index2"/>
        <w:numPr>
          <w:ilvl w:val="0"/>
          <w:numId w:val="3"/>
        </w:numPr>
        <w:rPr/>
      </w:pPr>
      <w:r>
        <w:rPr/>
        <w:t>Authorizing Commodity Groups that are aligned with the Enron Business Units’ strategies and with the Company’s broader objectives and risk tolerance</w:t>
      </w:r>
    </w:p>
    <w:p>
      <w:pPr>
        <w:pStyle w:val="Index2"/>
        <w:numPr>
          <w:ilvl w:val="0"/>
          <w:numId w:val="3"/>
        </w:numPr>
        <w:rPr/>
      </w:pPr>
      <w:r>
        <w:rPr/>
        <w:t>Recommending base Enron Business Unit Limits and Discretionary VaR to the Chief Executive Officer</w:t>
      </w:r>
    </w:p>
    <w:p>
      <w:pPr>
        <w:pStyle w:val="Index2"/>
        <w:numPr>
          <w:ilvl w:val="0"/>
          <w:numId w:val="3"/>
        </w:numPr>
        <w:rPr/>
      </w:pPr>
      <w:r>
        <w:rPr/>
        <w:t>Allocating Discretionary VaR to the Enron Business Units</w:t>
      </w:r>
    </w:p>
    <w:p>
      <w:pPr>
        <w:pStyle w:val="Index2"/>
        <w:numPr>
          <w:ilvl w:val="0"/>
          <w:numId w:val="3"/>
        </w:numPr>
        <w:rPr/>
      </w:pPr>
      <w:r>
        <w:rPr/>
        <w:t>Reviewing RAC’s recommendations from its strategic risk management function, and making a corresponding recommendation to the Chief Executive Officer if determined necessary</w:t>
      </w:r>
    </w:p>
    <w:p>
      <w:pPr>
        <w:pStyle w:val="Index2"/>
        <w:numPr>
          <w:ilvl w:val="0"/>
          <w:numId w:val="3"/>
        </w:numPr>
        <w:rPr>
          <w:i/>
          <w:i/>
          <w:iCs w:val="false"/>
          <w:color w:val="3366FF"/>
        </w:rPr>
      </w:pPr>
      <w:r>
        <w:rPr>
          <w:i/>
          <w:iCs w:val="false"/>
          <w:color w:val="3366FF"/>
        </w:rPr>
        <w:t>(</w:t>
      </w:r>
      <w:r>
        <w:rPr>
          <w:i/>
          <w:iCs w:val="false"/>
          <w:color w:val="0000FF"/>
        </w:rPr>
        <w:t>other?  anything w/Credit? or TAP?)</w:t>
      </w:r>
    </w:p>
    <w:p>
      <w:pPr>
        <w:pStyle w:val="Heading2"/>
        <w:numPr>
          <w:ilvl w:val="1"/>
          <w:numId w:val="6"/>
        </w:numPr>
        <w:rPr/>
      </w:pPr>
      <w:bookmarkStart w:id="59" w:name="__RefHeading___Toc516910303"/>
      <w:bookmarkEnd w:id="59"/>
      <w:r>
        <w:rPr/>
        <w:t>Enron Business Units</w:t>
      </w:r>
    </w:p>
    <w:p>
      <w:pPr>
        <w:pStyle w:val="Index2"/>
        <w:rPr/>
      </w:pPr>
      <w:r>
        <w:rPr/>
        <w:t>Enron Business Units are responsible for compliance with the Policy as described herein.</w:t>
      </w:r>
    </w:p>
    <w:p>
      <w:pPr>
        <w:pStyle w:val="Heading3"/>
        <w:numPr>
          <w:ilvl w:val="2"/>
          <w:numId w:val="6"/>
        </w:numPr>
        <w:rPr/>
      </w:pPr>
      <w:bookmarkStart w:id="60" w:name="__RefHeading___Toc516910304"/>
      <w:bookmarkEnd w:id="60"/>
      <w:r>
        <w:rPr/>
        <w:t>Enron Business Unit Office of the Chairman</w:t>
      </w:r>
    </w:p>
    <w:p>
      <w:pPr>
        <w:pStyle w:val="Index3"/>
        <w:rPr/>
      </w:pPr>
      <w:r>
        <w:rPr/>
        <w:t>Either the Chief Executive Officer or the Chief Operating Officer of an Enron Business Unit satisfies the requirement for Enron Business Unit Office of the Chairman obligations.  The Enron Business Unit Office of the Chairman’s responsibilities with regard to this Policy include:</w:t>
      </w:r>
    </w:p>
    <w:p>
      <w:pPr>
        <w:pStyle w:val="Index3"/>
        <w:rPr/>
      </w:pPr>
      <w:r>
        <w:rPr/>
      </w:r>
    </w:p>
    <w:p>
      <w:pPr>
        <w:pStyle w:val="Index9"/>
        <w:numPr>
          <w:ilvl w:val="0"/>
          <w:numId w:val="11"/>
        </w:numPr>
        <w:ind w:hanging="0" w:start="0"/>
        <w:rPr/>
      </w:pPr>
      <w:r>
        <w:rPr/>
        <w:t>Designating Head Traders (see section___ below) for each Commodity Group in the Trading Portfolio, and designating key commercial managers for each asset, liability, and active contract to ensure the Company’s Risk Capital is optimized in compliance with this Policy</w:t>
      </w:r>
    </w:p>
    <w:p>
      <w:pPr>
        <w:pStyle w:val="Index9"/>
        <w:numPr>
          <w:ilvl w:val="0"/>
          <w:numId w:val="4"/>
        </w:numPr>
        <w:ind w:hanging="0" w:start="0"/>
        <w:rPr/>
      </w:pPr>
      <w:r>
        <w:rPr/>
        <w:t xml:space="preserve">Managing the Traders’ activities and responsibilities </w:t>
      </w:r>
    </w:p>
    <w:p>
      <w:pPr>
        <w:pStyle w:val="Index9"/>
        <w:numPr>
          <w:ilvl w:val="0"/>
          <w:numId w:val="4"/>
        </w:numPr>
        <w:ind w:hanging="0" w:start="0"/>
        <w:rPr/>
      </w:pPr>
      <w:r>
        <w:rPr/>
        <w:t>Providing guidance in Traders’ decision making regarding position management upon notification of a Limit Violation or Loss Notification</w:t>
      </w:r>
    </w:p>
    <w:p>
      <w:pPr>
        <w:pStyle w:val="Index9"/>
        <w:numPr>
          <w:ilvl w:val="0"/>
          <w:numId w:val="4"/>
        </w:numPr>
        <w:ind w:hanging="0" w:start="0"/>
        <w:rPr/>
      </w:pPr>
      <w:r>
        <w:rPr/>
        <w:t xml:space="preserve">Ensuring the requirements of the Enron Business Units as stated in this Policy are satisfied </w:t>
      </w:r>
    </w:p>
    <w:p>
      <w:pPr>
        <w:pStyle w:val="Index9"/>
        <w:numPr>
          <w:ilvl w:val="0"/>
          <w:numId w:val="4"/>
        </w:numPr>
        <w:ind w:hanging="0" w:start="0"/>
        <w:rPr/>
      </w:pPr>
      <w:r>
        <w:rPr/>
        <w:t>Acting as or designating a commodity leader for the each of the Commodity Groups authorized by the Risk Committee as standard Commodity Groups  for the specific business unit; commodity leader is expected to manage Enron’s aggregate commodity specific exposure across all business units within the Portfolio in compliance with Concentration Limits</w:t>
      </w:r>
    </w:p>
    <w:p>
      <w:pPr>
        <w:pStyle w:val="Heading3"/>
        <w:numPr>
          <w:ilvl w:val="2"/>
          <w:numId w:val="6"/>
        </w:numPr>
        <w:rPr/>
      </w:pPr>
      <w:bookmarkStart w:id="61" w:name="__RefHeading___Toc516910305"/>
      <w:bookmarkEnd w:id="61"/>
      <w:r>
        <w:rPr/>
        <w:t>Authorized Traders</w:t>
      </w:r>
    </w:p>
    <w:p>
      <w:pPr>
        <w:pStyle w:val="Index3"/>
        <w:rPr/>
      </w:pPr>
      <w:r>
        <w:rPr/>
        <w:t xml:space="preserve">Only those employees specifically approved by the Enron Business Unit Office of the Chairman or his designee and reported to RAC will be authorized to enter into Transactions on behalf of Enron.  RAC shall maintain a record of these Authorized Traders.  The Enron Business Unit Office of the Chairman or his designee is responsible for immediately reporting to the RAC any change in authorization including those due to termination, change of duties, or hiring. </w:t>
      </w:r>
    </w:p>
    <w:p>
      <w:pPr>
        <w:pStyle w:val="Index3"/>
        <w:rPr/>
      </w:pPr>
      <w:r>
        <w:rPr/>
      </w:r>
    </w:p>
    <w:p>
      <w:pPr>
        <w:pStyle w:val="Index3"/>
        <w:rPr/>
      </w:pPr>
      <w:r>
        <w:rPr/>
        <w:t>Traders have first contact with the potential counterparties and accordingly provide the first line of defense against transactions with unauthorized market risk exposure and unacceptable credit exposure.  Head Traders are those traders who are responsible for a specific Commodity Group or Concentration Limit under this Policy.  Traders’ responsibilities with regard to risk management include those designated in the Segregation of Duties summary in Appendix ____ (</w:t>
      </w:r>
      <w:r>
        <w:rPr>
          <w:i/>
          <w:iCs/>
          <w:color w:val="0000FF"/>
        </w:rPr>
        <w:t>or should we incorporate here</w:t>
      </w:r>
      <w:r>
        <w:rPr>
          <w:i/>
          <w:iCs/>
          <w:color w:val="3366FF"/>
        </w:rPr>
        <w:t>?</w:t>
      </w:r>
      <w:r>
        <w:rPr/>
        <w:t>), as well as the following:</w:t>
      </w:r>
    </w:p>
    <w:p>
      <w:pPr>
        <w:pStyle w:val="Index3"/>
        <w:rPr/>
      </w:pPr>
      <w:r>
        <w:rPr/>
      </w:r>
    </w:p>
    <w:p>
      <w:pPr>
        <w:pStyle w:val="Index9"/>
        <w:numPr>
          <w:ilvl w:val="0"/>
          <w:numId w:val="12"/>
        </w:numPr>
        <w:ind w:hanging="0" w:start="0"/>
        <w:rPr/>
      </w:pPr>
      <w:r>
        <w:rPr/>
        <w:t>Recognizing they have the ultimate responsibility for understanding and complying with this Policy;</w:t>
      </w:r>
    </w:p>
    <w:p>
      <w:pPr>
        <w:pStyle w:val="Index9"/>
        <w:numPr>
          <w:ilvl w:val="0"/>
          <w:numId w:val="4"/>
        </w:numPr>
        <w:ind w:hanging="0" w:start="0"/>
        <w:rPr/>
      </w:pPr>
      <w:r>
        <w:rPr/>
        <w:t>Understanding, identifying and managing the market and credit risks in his trading activities in compliance with this Policy;</w:t>
      </w:r>
    </w:p>
    <w:p>
      <w:pPr>
        <w:pStyle w:val="Index9"/>
        <w:numPr>
          <w:ilvl w:val="0"/>
          <w:numId w:val="4"/>
        </w:numPr>
        <w:ind w:hanging="0" w:start="0"/>
        <w:rPr/>
      </w:pPr>
      <w:r>
        <w:rPr/>
        <w:t>Updating by Head Traders on a timely basis, RAC’s list of Authorized Traders</w:t>
      </w:r>
    </w:p>
    <w:p>
      <w:pPr>
        <w:pStyle w:val="Index9"/>
        <w:numPr>
          <w:ilvl w:val="0"/>
          <w:numId w:val="4"/>
        </w:numPr>
        <w:ind w:hanging="0" w:start="0"/>
        <w:rPr/>
      </w:pPr>
      <w:r>
        <w:rPr/>
        <w:t xml:space="preserve">Providing thorough explanation of any exceptions to the limit structure, including plans to get back in compliance </w:t>
      </w:r>
    </w:p>
    <w:p>
      <w:pPr>
        <w:pStyle w:val="Index9"/>
        <w:numPr>
          <w:ilvl w:val="0"/>
          <w:numId w:val="4"/>
        </w:numPr>
        <w:ind w:hanging="0" w:start="0"/>
        <w:rPr/>
      </w:pPr>
      <w:r>
        <w:rPr/>
        <w:t xml:space="preserve">Assisting the market and credit risk management functions in identifying the risks inherent in their trading activities by providing timely information regarding market developments, trends and counterparty credit events; </w:t>
      </w:r>
    </w:p>
    <w:p>
      <w:pPr>
        <w:pStyle w:val="Index9"/>
        <w:numPr>
          <w:ilvl w:val="0"/>
          <w:numId w:val="4"/>
        </w:numPr>
        <w:ind w:hanging="0" w:start="0"/>
        <w:rPr/>
      </w:pPr>
      <w:r>
        <w:rPr/>
        <w:t>Ensuring that the credit risk management receives transaction documentation and any additional information regarding the counterparty’s business reputation, integrity and potential “daisy-chain” exposures for credit analysis and review purposes; and</w:t>
      </w:r>
    </w:p>
    <w:p>
      <w:pPr>
        <w:pStyle w:val="Index9"/>
        <w:numPr>
          <w:ilvl w:val="0"/>
          <w:numId w:val="4"/>
        </w:numPr>
        <w:ind w:hanging="0" w:start="0"/>
        <w:rPr/>
      </w:pPr>
      <w:r>
        <w:rPr/>
        <w:t>Ensuring that appropriate approvals are obtained from the credit risk management function, and under the Transaction Approval Process if applicable, prior to entering into a transaction;</w:t>
      </w:r>
    </w:p>
    <w:p>
      <w:pPr>
        <w:pStyle w:val="Index9"/>
        <w:numPr>
          <w:ilvl w:val="0"/>
          <w:numId w:val="4"/>
        </w:numPr>
        <w:ind w:hanging="0" w:start="0"/>
        <w:rPr/>
      </w:pPr>
      <w:r>
        <w:rPr/>
        <w:t>Ensuring that risk exposures from trading activities remain within established limits and highlighting potential limit violations and threshold exceptions to RAC and to the Enron Business Unit Office of the Chairman in a timely manner;</w:t>
      </w:r>
    </w:p>
    <w:p>
      <w:pPr>
        <w:pStyle w:val="Index9"/>
        <w:numPr>
          <w:ilvl w:val="0"/>
          <w:numId w:val="4"/>
        </w:numPr>
        <w:ind w:hanging="0" w:start="0"/>
        <w:rPr/>
      </w:pPr>
      <w:r>
        <w:rPr/>
        <w:t>Taking action proactively to reduce risk exposures as limits are being approached or in anticipation of planned transactions that would increase risk exposures beyond established risk tolerances;</w:t>
      </w:r>
    </w:p>
    <w:p>
      <w:pPr>
        <w:pStyle w:val="Index9"/>
        <w:numPr>
          <w:ilvl w:val="0"/>
          <w:numId w:val="4"/>
        </w:numPr>
        <w:ind w:hanging="0" w:start="0"/>
        <w:rPr/>
      </w:pPr>
      <w:r>
        <w:rPr/>
        <w:t>Negotiating collateral, prepayment or parental guarantee arrangements if the counterparty’s financial stability is questionable or considered too weak to obtain a stand-alone credit limit;</w:t>
      </w:r>
    </w:p>
    <w:p>
      <w:pPr>
        <w:pStyle w:val="Heading3"/>
        <w:numPr>
          <w:ilvl w:val="2"/>
          <w:numId w:val="6"/>
        </w:numPr>
        <w:rPr/>
      </w:pPr>
      <w:bookmarkStart w:id="62" w:name="__RefHeading___Toc516910306"/>
      <w:bookmarkEnd w:id="62"/>
      <w:r>
        <w:rPr/>
        <w:t>Research</w:t>
      </w:r>
    </w:p>
    <w:p>
      <w:pPr>
        <w:pStyle w:val="Index3"/>
        <w:rPr/>
      </w:pPr>
      <w:r>
        <w:rPr/>
        <w:t>(</w:t>
      </w:r>
      <w:r>
        <w:rPr>
          <w:i/>
          <w:iCs/>
          <w:color w:val="0000FF"/>
        </w:rPr>
        <w:t>discuss w/Ted/David and Vince – shouldn’t we include Research as part of the Company’s overall risk management function?</w:t>
      </w:r>
      <w:r>
        <w:rPr/>
        <w:t>)</w:t>
      </w:r>
    </w:p>
    <w:p>
      <w:pPr>
        <w:pStyle w:val="Heading2"/>
        <w:numPr>
          <w:ilvl w:val="1"/>
          <w:numId w:val="6"/>
        </w:numPr>
        <w:rPr/>
      </w:pPr>
      <w:bookmarkStart w:id="63" w:name="__RefHeading___Toc516910307"/>
      <w:bookmarkEnd w:id="63"/>
      <w:r>
        <w:rPr/>
        <w:t>Risk Management Operations (RMO)</w:t>
      </w:r>
    </w:p>
    <w:p>
      <w:pPr>
        <w:pStyle w:val="Index2"/>
        <w:rPr/>
      </w:pPr>
      <w:r>
        <w:rPr/>
        <w:t>Risk Management Operations (RMO) plays a key role in the implementation of Enron Business Units’ risk management processes.  Accordingly, Risk Management Operations has a dual reporting role at the executive level to both the Enron Corp. Chief Accounting Officer and to the Enron Wholesale Services of the Chairman.  In addition to the middle office functions addressed in the Segregation of Duties summary in Appendix ____ (</w:t>
      </w:r>
      <w:r>
        <w:rPr>
          <w:i/>
          <w:iCs w:val="false"/>
          <w:color w:val="0000FF"/>
        </w:rPr>
        <w:t>or should we simply incorporate here</w:t>
      </w:r>
      <w:r>
        <w:rPr>
          <w:i/>
          <w:iCs w:val="false"/>
          <w:color w:val="3366FF"/>
        </w:rPr>
        <w:t>?</w:t>
      </w:r>
      <w:r>
        <w:rPr/>
        <w:t>), RMO performs critical analytical functions, including, but not limited to the following:</w:t>
      </w:r>
    </w:p>
    <w:p>
      <w:pPr>
        <w:pStyle w:val="Index9"/>
        <w:numPr>
          <w:ilvl w:val="0"/>
          <w:numId w:val="13"/>
        </w:numPr>
        <w:ind w:hanging="0" w:start="0"/>
        <w:rPr/>
      </w:pPr>
      <w:r>
        <w:rPr/>
        <w:t>Implementation and maintenance of market risk reporting in compliance with this Policy</w:t>
      </w:r>
    </w:p>
    <w:p>
      <w:pPr>
        <w:pStyle w:val="Index9"/>
        <w:numPr>
          <w:ilvl w:val="0"/>
          <w:numId w:val="4"/>
        </w:numPr>
        <w:ind w:hanging="0" w:start="0"/>
        <w:rPr/>
      </w:pPr>
      <w:r>
        <w:rPr/>
        <w:t>Performing various valuation and risk analyses and discussing results with appropriate trading personnel, and reviewing findings with RAC</w:t>
      </w:r>
    </w:p>
    <w:p>
      <w:pPr>
        <w:pStyle w:val="Index9"/>
        <w:numPr>
          <w:ilvl w:val="0"/>
          <w:numId w:val="4"/>
        </w:numPr>
        <w:ind w:hanging="0" w:start="0"/>
        <w:rPr/>
      </w:pPr>
      <w:r>
        <w:rPr/>
        <w:t>Participating in new product development and approval support to ensure operational risks are addressed and infrastructure to support new business activity is in place prior to commencement;</w:t>
      </w:r>
    </w:p>
    <w:p>
      <w:pPr>
        <w:pStyle w:val="Index9"/>
        <w:numPr>
          <w:ilvl w:val="0"/>
          <w:numId w:val="4"/>
        </w:numPr>
        <w:ind w:hanging="0" w:start="0"/>
        <w:rPr/>
      </w:pPr>
      <w:r>
        <w:rPr/>
        <w:t>Managing the VaR process including defining model requirements for approval, model testing, analyzing VaR output, and reporting;</w:t>
      </w:r>
    </w:p>
    <w:p>
      <w:pPr>
        <w:pStyle w:val="Index9"/>
        <w:numPr>
          <w:ilvl w:val="0"/>
          <w:numId w:val="4"/>
        </w:numPr>
        <w:ind w:hanging="0" w:start="0"/>
        <w:rPr/>
      </w:pPr>
      <w:r>
        <w:rPr/>
        <w:t>Managing the Stress Testing processes including identification and recommendation of the standard stress testing scenarios, definition of tolerance levels for approval, analysis of monthly stress testing results, compilation and presentation of results to the Market Risk Manager and proposing any action to the Market Risk Manager in response to monthly stress testing results and any outliers identified;</w:t>
      </w:r>
    </w:p>
    <w:p>
      <w:pPr>
        <w:pStyle w:val="Index9"/>
        <w:numPr>
          <w:ilvl w:val="0"/>
          <w:numId w:val="4"/>
        </w:numPr>
        <w:ind w:hanging="0" w:start="0"/>
        <w:rPr/>
      </w:pPr>
      <w:r>
        <w:rPr/>
        <w:t>Managing the Back Testing process including the compilation and analysis of results and preparation of quarterly reports to Market Risk Manager; and</w:t>
      </w:r>
    </w:p>
    <w:p>
      <w:pPr>
        <w:pStyle w:val="Index9"/>
        <w:numPr>
          <w:ilvl w:val="0"/>
          <w:numId w:val="4"/>
        </w:numPr>
        <w:ind w:hanging="0" w:start="0"/>
        <w:rPr/>
      </w:pPr>
      <w:r>
        <w:rPr/>
        <w:t>Preparing and circulating limit exception reports on a timely basis, with explanations for exceptions provided by the Traders;</w:t>
      </w:r>
    </w:p>
    <w:p>
      <w:pPr>
        <w:pStyle w:val="Index9"/>
        <w:numPr>
          <w:ilvl w:val="0"/>
          <w:numId w:val="4"/>
        </w:numPr>
        <w:ind w:hanging="0" w:start="0"/>
        <w:rPr/>
      </w:pPr>
      <w:r>
        <w:rPr/>
        <w:t>Assisting RAC in the investigation of any trading anomalies;</w:t>
      </w:r>
    </w:p>
    <w:p>
      <w:pPr>
        <w:pStyle w:val="Index9"/>
        <w:numPr>
          <w:ilvl w:val="0"/>
          <w:numId w:val="4"/>
        </w:numPr>
        <w:ind w:hanging="0" w:start="0"/>
        <w:rPr/>
      </w:pPr>
      <w:r>
        <w:rPr/>
        <w:t>Performing mark-to-market valuations of open physical trading positions;</w:t>
      </w:r>
    </w:p>
    <w:p>
      <w:pPr>
        <w:pStyle w:val="Index9"/>
        <w:numPr>
          <w:ilvl w:val="0"/>
          <w:numId w:val="4"/>
        </w:numPr>
        <w:ind w:hanging="0" w:start="0"/>
        <w:rPr/>
      </w:pPr>
      <w:r>
        <w:rPr/>
        <w:t>Performing position reconciliation of Enron daily trading activity and P&amp;L to front office data;</w:t>
      </w:r>
    </w:p>
    <w:p>
      <w:pPr>
        <w:pStyle w:val="Index9"/>
        <w:numPr>
          <w:ilvl w:val="0"/>
          <w:numId w:val="4"/>
        </w:numPr>
        <w:ind w:hanging="0" w:start="0"/>
        <w:rPr/>
      </w:pPr>
      <w:r>
        <w:rPr/>
        <w:t>Providing mark-to-market position and collateral information to Credit Risk Management Function;</w:t>
      </w:r>
    </w:p>
    <w:p>
      <w:pPr>
        <w:pStyle w:val="Index9"/>
        <w:numPr>
          <w:ilvl w:val="0"/>
          <w:numId w:val="4"/>
        </w:numPr>
        <w:ind w:hanging="0" w:start="0"/>
        <w:rPr/>
      </w:pPr>
      <w:r>
        <w:rPr/>
        <w:t xml:space="preserve">Obtaining the necessary documentation (e.g., financial data, collateral agreements, parental guarantees) for credit approval and providing it to the RAC; </w:t>
      </w:r>
    </w:p>
    <w:p>
      <w:pPr>
        <w:pStyle w:val="Index9"/>
        <w:numPr>
          <w:ilvl w:val="0"/>
          <w:numId w:val="4"/>
        </w:numPr>
        <w:ind w:hanging="0" w:start="0"/>
        <w:rPr/>
      </w:pPr>
      <w:r>
        <w:rPr/>
        <w:t>Developing and implementing processes to minimize settlement risk</w:t>
      </w:r>
    </w:p>
    <w:p>
      <w:pPr>
        <w:pStyle w:val="Heading2"/>
        <w:numPr>
          <w:ilvl w:val="1"/>
          <w:numId w:val="6"/>
        </w:numPr>
        <w:rPr/>
      </w:pPr>
      <w:bookmarkStart w:id="64" w:name="__RefHeading___Toc516910308"/>
      <w:bookmarkEnd w:id="64"/>
      <w:r>
        <w:rPr/>
        <w:t>Accounting</w:t>
      </w:r>
    </w:p>
    <w:p>
      <w:pPr>
        <w:pStyle w:val="Index2"/>
        <w:rPr/>
      </w:pPr>
      <w:r>
        <w:rPr/>
        <w:t>Accounting performs back-office functions as described in the Segregation of Duties summary in Appendix ____.</w:t>
      </w:r>
    </w:p>
    <w:p>
      <w:pPr>
        <w:pStyle w:val="Heading2"/>
        <w:numPr>
          <w:ilvl w:val="1"/>
          <w:numId w:val="6"/>
        </w:numPr>
        <w:rPr/>
      </w:pPr>
      <w:bookmarkStart w:id="65" w:name="__RefHeading___Toc516910309"/>
      <w:bookmarkEnd w:id="65"/>
      <w:r>
        <w:rPr/>
        <w:t>Legal</w:t>
      </w:r>
    </w:p>
    <w:p>
      <w:pPr>
        <w:pStyle w:val="Index2"/>
        <w:rPr/>
      </w:pPr>
      <w:r>
        <w:rPr/>
        <w:t>Enron’s Legal department is responsible for ensuring that the documentation supporting the transactions executed by business units Traders considers and protects Enron from risk exposure.  Legal’s responsibilities with regard to risk management include, among other things:</w:t>
      </w:r>
    </w:p>
    <w:p>
      <w:pPr>
        <w:pStyle w:val="Index9"/>
        <w:numPr>
          <w:ilvl w:val="0"/>
          <w:numId w:val="14"/>
        </w:numPr>
        <w:ind w:hanging="0" w:start="0"/>
        <w:rPr/>
      </w:pPr>
      <w:r>
        <w:rPr/>
        <w:t>Administering the Company’s Code of Ethics, incorporated by reference in this Policy</w:t>
      </w:r>
    </w:p>
    <w:p>
      <w:pPr>
        <w:pStyle w:val="Index9"/>
        <w:numPr>
          <w:ilvl w:val="0"/>
          <w:numId w:val="4"/>
        </w:numPr>
        <w:ind w:hanging="0" w:start="0"/>
        <w:rPr/>
      </w:pPr>
      <w:r>
        <w:rPr/>
        <w:t>Resolving employee trading issues and interpretation of the Policy with respect to potential non-compliance with the Policy</w:t>
      </w:r>
    </w:p>
    <w:p>
      <w:pPr>
        <w:pStyle w:val="Index9"/>
        <w:numPr>
          <w:ilvl w:val="0"/>
          <w:numId w:val="4"/>
        </w:numPr>
        <w:ind w:hanging="0" w:start="0"/>
        <w:rPr/>
      </w:pPr>
      <w:r>
        <w:rPr/>
        <w:t>Reviewing all confirmations and documents that Enron Business Units must sign to execute transactions;</w:t>
      </w:r>
    </w:p>
    <w:p>
      <w:pPr>
        <w:pStyle w:val="Index9"/>
        <w:numPr>
          <w:ilvl w:val="0"/>
          <w:numId w:val="4"/>
        </w:numPr>
        <w:ind w:hanging="0" w:start="0"/>
        <w:rPr/>
      </w:pPr>
      <w:r>
        <w:rPr/>
        <w:t>Reviewing master agreements allowing for netting to reduce credit exposure</w:t>
      </w:r>
    </w:p>
    <w:p>
      <w:pPr>
        <w:pStyle w:val="Index9"/>
        <w:numPr>
          <w:ilvl w:val="0"/>
          <w:numId w:val="4"/>
        </w:numPr>
        <w:ind w:hanging="0" w:start="0"/>
        <w:rPr/>
      </w:pPr>
      <w:r>
        <w:rPr/>
        <w:t>Developing a guarantee document for use by counterparties which protects Enron; and negotiating and reviewing counterparty guarantees to ensure that they protect Enron as intended;</w:t>
      </w:r>
    </w:p>
    <w:p>
      <w:pPr>
        <w:pStyle w:val="Index9"/>
        <w:numPr>
          <w:ilvl w:val="0"/>
          <w:numId w:val="4"/>
        </w:numPr>
        <w:ind w:hanging="0" w:start="0"/>
        <w:rPr/>
      </w:pPr>
      <w:r>
        <w:rPr/>
        <w:t>Negotiating, reviewing and/or preparing all significant contracts in transaction execution</w:t>
      </w:r>
    </w:p>
    <w:p>
      <w:pPr>
        <w:pStyle w:val="Index9"/>
        <w:numPr>
          <w:ilvl w:val="0"/>
          <w:numId w:val="4"/>
        </w:numPr>
        <w:ind w:hanging="0" w:start="0"/>
        <w:rPr/>
      </w:pPr>
      <w:r>
        <w:rPr/>
        <w:t>Reviewing all brokerage agreements in compliance with this Policy, and maintaining a database of all brokerage agreements and related authorizations</w:t>
      </w:r>
    </w:p>
    <w:p>
      <w:pPr>
        <w:pStyle w:val="Heading2"/>
        <w:numPr>
          <w:ilvl w:val="1"/>
          <w:numId w:val="6"/>
        </w:numPr>
        <w:rPr/>
      </w:pPr>
      <w:bookmarkStart w:id="66" w:name="__RefHeading___Toc516910310"/>
      <w:bookmarkEnd w:id="66"/>
      <w:r>
        <w:rPr/>
        <w:t>Enron Corp. Chief Risk Officer (Chief Risk Officer) and Risk Assessment &amp; Control (RAC)</w:t>
      </w:r>
    </w:p>
    <w:p>
      <w:pPr>
        <w:pStyle w:val="Index2"/>
        <w:rPr/>
      </w:pPr>
      <w:r>
        <w:rPr/>
        <w:t>The Chief Risk Officer reports to the Chief Executive Officer of Enron Corp. The Chief Risk Officer is responsible for ensuring that the risk management functions and business activities are conducted in accordance with this Policy.  The Chief Risk Officer fulfills his responsibilities through direct oversight and prudent delegation to Risk Assessment &amp; Control (RAC).  RAC reports directly to the Chief Risk Officer, and includes the market risk management and credit risk management functions of the Company, as well as strategic risk management of the Company’s enterprise wide risk management policy and initiatives.  RAC also includes management of the Transaction Approval Process designed to provide special review of market and credit risks for specified transactions in accordance with this Policy, as well as other specific functions that support the Company’s risk management framework.  References to RAC shall be interpreted as the appropriate individual and group within RAC depending on the issue being addressed.  The Chief Risk Officer’s responsibilities include, but are not limited to:</w:t>
      </w:r>
    </w:p>
    <w:p>
      <w:pPr>
        <w:pStyle w:val="Index2"/>
        <w:numPr>
          <w:ilvl w:val="0"/>
          <w:numId w:val="5"/>
        </w:numPr>
        <w:rPr/>
      </w:pPr>
      <w:r>
        <w:rPr/>
        <w:t>Understanding the overall risks incurred and overseeing risk management practices to ensure that practices are consistent with policy and strategy;</w:t>
      </w:r>
    </w:p>
    <w:p>
      <w:pPr>
        <w:pStyle w:val="Index2"/>
        <w:numPr>
          <w:ilvl w:val="0"/>
          <w:numId w:val="5"/>
        </w:numPr>
        <w:rPr/>
      </w:pPr>
      <w:r>
        <w:rPr/>
        <w:t>Engaging management in discussions regarding events or developments that could expose the Company to potential losses;</w:t>
      </w:r>
    </w:p>
    <w:p>
      <w:pPr>
        <w:pStyle w:val="Index2"/>
        <w:numPr>
          <w:ilvl w:val="0"/>
          <w:numId w:val="5"/>
        </w:numPr>
        <w:rPr/>
      </w:pPr>
      <w:r>
        <w:rPr/>
        <w:t xml:space="preserve">Authorizing new products within existing Commodity Groups </w:t>
      </w:r>
    </w:p>
    <w:p>
      <w:pPr>
        <w:pStyle w:val="Index2"/>
        <w:numPr>
          <w:ilvl w:val="0"/>
          <w:numId w:val="5"/>
        </w:numPr>
        <w:rPr/>
      </w:pPr>
      <w:r>
        <w:rPr/>
        <w:t>Overseeing the development, approval and administration of policies, methodologies, and practices for measuring, monitoring and managing the risk exposures of business units including limit compliance.  Certain responsibilities may be assigned to Risk Management Operations to facilitate business activity.</w:t>
      </w:r>
    </w:p>
    <w:p>
      <w:pPr>
        <w:pStyle w:val="Index2"/>
        <w:numPr>
          <w:ilvl w:val="0"/>
          <w:numId w:val="5"/>
        </w:numPr>
        <w:rPr/>
      </w:pPr>
      <w:r>
        <w:rPr/>
        <w:t>Approving the market risk limit structure through the Risk Committee to manage the inherent risks of business units’ activities;</w:t>
      </w:r>
    </w:p>
    <w:p>
      <w:pPr>
        <w:pStyle w:val="Index2"/>
        <w:numPr>
          <w:ilvl w:val="0"/>
          <w:numId w:val="5"/>
        </w:numPr>
        <w:rPr/>
      </w:pPr>
      <w:r>
        <w:rPr/>
        <w:t>Approving all risk practices including market risk measurement and credit risk measurement;</w:t>
      </w:r>
    </w:p>
    <w:p>
      <w:pPr>
        <w:pStyle w:val="Index2"/>
        <w:numPr>
          <w:ilvl w:val="0"/>
          <w:numId w:val="5"/>
        </w:numPr>
        <w:rPr/>
      </w:pPr>
      <w:r>
        <w:rPr/>
        <w:t>Reviewing any separate risk management policies governing Enron Business Unit and significant affiliates’ activities to ensure relevance and adequacy of policies as well as ensuring adherence to those risk policies;</w:t>
      </w:r>
    </w:p>
    <w:p>
      <w:pPr>
        <w:pStyle w:val="Index2"/>
        <w:numPr>
          <w:ilvl w:val="0"/>
          <w:numId w:val="5"/>
        </w:numPr>
        <w:rPr/>
      </w:pPr>
      <w:r>
        <w:rPr/>
        <w:t>Reviewing and approving the numerical limits and allocation of credit risk limits from the perspective of viability and the risk tolerance level of Enron;</w:t>
      </w:r>
    </w:p>
    <w:p>
      <w:pPr>
        <w:pStyle w:val="Index2"/>
        <w:numPr>
          <w:ilvl w:val="0"/>
          <w:numId w:val="5"/>
        </w:numPr>
        <w:rPr/>
      </w:pPr>
      <w:r>
        <w:rPr/>
        <w:t xml:space="preserve">Ensuring that risk management responsibilities are assigned to the appropriate units, and that staff are appropriately trained to understand and comply with the established risk management processes; </w:t>
      </w:r>
    </w:p>
    <w:p>
      <w:pPr>
        <w:pStyle w:val="Index2"/>
        <w:numPr>
          <w:ilvl w:val="0"/>
          <w:numId w:val="5"/>
        </w:numPr>
        <w:rPr/>
      </w:pPr>
      <w:r>
        <w:rPr/>
        <w:t xml:space="preserve">Ensuring that the infrastructure supports the credit and market risk management needs of the Company; </w:t>
      </w:r>
    </w:p>
    <w:p>
      <w:pPr>
        <w:pStyle w:val="Index2"/>
        <w:numPr>
          <w:ilvl w:val="0"/>
          <w:numId w:val="5"/>
        </w:numPr>
        <w:rPr/>
      </w:pPr>
      <w:r>
        <w:rPr/>
        <w:t>Reviewing and approving counterparty and trading positions for significant changes and risk issues, such as exceptional gains and losses and “Watch List” items.</w:t>
      </w:r>
    </w:p>
    <w:p>
      <w:pPr>
        <w:pStyle w:val="Index2"/>
        <w:numPr>
          <w:ilvl w:val="0"/>
          <w:numId w:val="5"/>
        </w:numPr>
        <w:rPr/>
      </w:pPr>
      <w:r>
        <w:rPr/>
        <w:t>Assessing the returns achieved relative to expectations and to the level of risk incurred;</w:t>
      </w:r>
    </w:p>
    <w:p>
      <w:pPr>
        <w:pStyle w:val="Index2"/>
        <w:numPr>
          <w:ilvl w:val="0"/>
          <w:numId w:val="5"/>
        </w:numPr>
        <w:rPr/>
      </w:pPr>
      <w:r>
        <w:rPr/>
        <w:t>Resolving limit and policy disputes between risk management and trading functions;</w:t>
      </w:r>
    </w:p>
    <w:p>
      <w:pPr>
        <w:pStyle w:val="Index2"/>
        <w:numPr>
          <w:ilvl w:val="0"/>
          <w:numId w:val="5"/>
        </w:numPr>
        <w:rPr/>
      </w:pPr>
      <w:r>
        <w:rPr/>
        <w:t>Managing the Transaction Approval Process that supports the identification of credit and market risks on specific transactions</w:t>
      </w:r>
    </w:p>
    <w:p>
      <w:pPr>
        <w:pStyle w:val="Index2"/>
        <w:numPr>
          <w:ilvl w:val="0"/>
          <w:numId w:val="5"/>
        </w:numPr>
        <w:rPr/>
      </w:pPr>
      <w:r>
        <w:rPr/>
        <w:t>Reporting to the Finance Committee and Audit Committee at regularly scheduled Board meetings, as well as providing special analyses and reports to the Chief Executive Officer and to the Chairman of the Finance Committee</w:t>
      </w:r>
    </w:p>
    <w:p>
      <w:pPr>
        <w:pStyle w:val="Heading3"/>
        <w:numPr>
          <w:ilvl w:val="2"/>
          <w:numId w:val="6"/>
        </w:numPr>
        <w:rPr/>
      </w:pPr>
      <w:bookmarkStart w:id="67" w:name="__RefHeading___Toc516910311"/>
      <w:bookmarkEnd w:id="67"/>
      <w:r>
        <w:rPr/>
        <w:t>Credit Risk Management</w:t>
      </w:r>
    </w:p>
    <w:p>
      <w:pPr>
        <w:pStyle w:val="Index3"/>
        <w:rPr/>
      </w:pPr>
      <w:r>
        <w:rPr/>
        <w:t>(</w:t>
      </w:r>
      <w:r>
        <w:rPr>
          <w:i/>
          <w:iCs/>
          <w:color w:val="0000FF"/>
        </w:rPr>
        <w:t>review w/Bradford</w:t>
      </w:r>
      <w:r>
        <w:rPr>
          <w:i/>
          <w:iCs/>
          <w:color w:val="3366FF"/>
        </w:rPr>
        <w:t>)</w:t>
      </w:r>
    </w:p>
    <w:p>
      <w:pPr>
        <w:pStyle w:val="Index3"/>
        <w:rPr/>
      </w:pPr>
      <w:r>
        <w:rPr/>
        <w:t>Reporting to the Chief Risk Officer, the credit risk management function within RAC has direct day-to-day oversight of all credit risks inherent in Enron Business Units’ activities.  The function has dual responsibilities to support the Traders on daily credit risk issues, and to act independently to identify, report and monitor credit risk exposures and ensure that senior management is kept informed regarding these exposures.  More specifically, these responsibilities include, among other things:</w:t>
      </w:r>
    </w:p>
    <w:p>
      <w:pPr>
        <w:pStyle w:val="Index3"/>
        <w:rPr/>
      </w:pPr>
      <w:r>
        <w:rPr/>
      </w:r>
    </w:p>
    <w:p>
      <w:pPr>
        <w:pStyle w:val="Index9"/>
        <w:numPr>
          <w:ilvl w:val="0"/>
          <w:numId w:val="15"/>
        </w:numPr>
        <w:ind w:hanging="0" w:start="0"/>
        <w:rPr/>
      </w:pPr>
      <w:r>
        <w:rPr/>
        <w:t>Supervising credit risk management personnel including ensuring proper staffing, training and development.</w:t>
      </w:r>
    </w:p>
    <w:p>
      <w:pPr>
        <w:pStyle w:val="Index9"/>
        <w:numPr>
          <w:ilvl w:val="0"/>
          <w:numId w:val="4"/>
        </w:numPr>
        <w:ind w:hanging="0" w:start="0"/>
        <w:rPr/>
      </w:pPr>
      <w:r>
        <w:rPr/>
        <w:t>Providing day-to-day oversight of the credit risk management activities of business units and to ensure adherence to established risk tolerances and policies;</w:t>
      </w:r>
    </w:p>
    <w:p>
      <w:pPr>
        <w:pStyle w:val="Index9"/>
        <w:numPr>
          <w:ilvl w:val="0"/>
          <w:numId w:val="4"/>
        </w:numPr>
        <w:ind w:hanging="0" w:start="0"/>
        <w:rPr/>
      </w:pPr>
      <w:r>
        <w:rPr/>
        <w:t>Developing and recommending to the CRM and the Risk Management Committee methodologies for measuring and managing the credit risk exposures of business units;</w:t>
      </w:r>
    </w:p>
    <w:p>
      <w:pPr>
        <w:pStyle w:val="Index9"/>
        <w:numPr>
          <w:ilvl w:val="0"/>
          <w:numId w:val="4"/>
        </w:numPr>
        <w:ind w:hanging="0" w:start="0"/>
        <w:rPr/>
      </w:pPr>
      <w:r>
        <w:rPr/>
        <w:t>Ensuring timely receipt from the Trader or the Transaction Analysis and Reporting Department of complete and proper documentation for credit approval and review purposes (e.g., approval requests, financial statements, collateral information, netting agreements, enabling agreements, guarantees) in order to perform the analysis and to send to outsourcing organizations for credit review (if applicable);</w:t>
      </w:r>
    </w:p>
    <w:p>
      <w:pPr>
        <w:pStyle w:val="Index9"/>
        <w:numPr>
          <w:ilvl w:val="0"/>
          <w:numId w:val="4"/>
        </w:numPr>
        <w:ind w:hanging="0" w:start="0"/>
        <w:rPr/>
      </w:pPr>
      <w:r>
        <w:rPr/>
        <w:t>Managing the outsourced credit scoring process (if applicable), including ensuring that the proper documentation is provided to the outsourcing organization and that credit scoring is completed in a timely manner;</w:t>
      </w:r>
    </w:p>
    <w:p>
      <w:pPr>
        <w:pStyle w:val="Index9"/>
        <w:numPr>
          <w:ilvl w:val="0"/>
          <w:numId w:val="4"/>
        </w:numPr>
        <w:ind w:hanging="0" w:start="0"/>
        <w:rPr/>
      </w:pPr>
      <w:r>
        <w:rPr/>
        <w:t>Performing credit analyses in accordance with policies defined within this Manual and reviewing credit rating data provided by external agencies and outsourcing organizations to determine the creditworthiness of counterparties for new approvals and periodic (at least annual) credit reviews following the initial approval;</w:t>
      </w:r>
    </w:p>
    <w:p>
      <w:pPr>
        <w:pStyle w:val="Index9"/>
        <w:numPr>
          <w:ilvl w:val="0"/>
          <w:numId w:val="4"/>
        </w:numPr>
        <w:ind w:hanging="0" w:start="0"/>
        <w:rPr/>
      </w:pPr>
      <w:r>
        <w:rPr/>
        <w:t>Providing independent analyses and opinions regarding counterparty credit limits to the proper approval authorities (see Section X.x for a discussion of approval limits) based upon the above credit analyses;</w:t>
      </w:r>
    </w:p>
    <w:p>
      <w:pPr>
        <w:pStyle w:val="Index9"/>
        <w:numPr>
          <w:ilvl w:val="0"/>
          <w:numId w:val="4"/>
        </w:numPr>
        <w:ind w:hanging="0" w:start="0"/>
        <w:rPr/>
      </w:pPr>
      <w:r>
        <w:rPr/>
        <w:t>Reviewing and approving counterparty and issuer lines and excesses for business units up to the designated approval limit (see Section X.x for a discussion of approval limits);</w:t>
      </w:r>
    </w:p>
    <w:p>
      <w:pPr>
        <w:pStyle w:val="Index9"/>
        <w:numPr>
          <w:ilvl w:val="0"/>
          <w:numId w:val="4"/>
        </w:numPr>
        <w:ind w:hanging="0" w:start="0"/>
        <w:rPr/>
      </w:pPr>
      <w:r>
        <w:rPr/>
        <w:t>Ensuring that the establishment of credit lines is within approved credit parameters and risk tolerances;</w:t>
      </w:r>
    </w:p>
    <w:p>
      <w:pPr>
        <w:pStyle w:val="Index9"/>
        <w:numPr>
          <w:ilvl w:val="0"/>
          <w:numId w:val="4"/>
        </w:numPr>
        <w:ind w:hanging="0" w:start="0"/>
        <w:rPr/>
      </w:pPr>
      <w:r>
        <w:rPr/>
        <w:t>Ensuring that each relationship and transaction has been approved in accordance with the policies defined in this Manual and has a completed approval request and proper documentation;</w:t>
      </w:r>
    </w:p>
    <w:p>
      <w:pPr>
        <w:pStyle w:val="Index9"/>
        <w:numPr>
          <w:ilvl w:val="0"/>
          <w:numId w:val="4"/>
        </w:numPr>
        <w:ind w:hanging="0" w:start="0"/>
        <w:rPr/>
      </w:pPr>
      <w:r>
        <w:rPr/>
        <w:t>Monitoring and reporting business units’ credit risks focusing on line compliance, risk aggregation, utilization, collateral valuation and the timely identification and resolution of adverse credit events / problem exposures to avoid / mitigate credit losses;</w:t>
      </w:r>
    </w:p>
    <w:p>
      <w:pPr>
        <w:pStyle w:val="Index9"/>
        <w:numPr>
          <w:ilvl w:val="0"/>
          <w:numId w:val="4"/>
        </w:numPr>
        <w:ind w:hanging="0" w:start="0"/>
        <w:rPr/>
      </w:pPr>
      <w:r>
        <w:rPr/>
        <w:t>Developing and promoting effective communication with Traders and the head of business units to facilitate the credit approval process, monitor credit risks and manage policy related matters;</w:t>
      </w:r>
    </w:p>
    <w:p>
      <w:pPr>
        <w:pStyle w:val="Index9"/>
        <w:numPr>
          <w:ilvl w:val="0"/>
          <w:numId w:val="4"/>
        </w:numPr>
        <w:ind w:hanging="0" w:start="0"/>
        <w:rPr/>
      </w:pPr>
      <w:r>
        <w:rPr/>
        <w:t>Providing direct support to Traders in matters related to credit policy;</w:t>
      </w:r>
    </w:p>
    <w:p>
      <w:pPr>
        <w:pStyle w:val="Index9"/>
        <w:numPr>
          <w:ilvl w:val="0"/>
          <w:numId w:val="4"/>
        </w:numPr>
        <w:ind w:hanging="0" w:start="0"/>
        <w:rPr/>
      </w:pPr>
      <w:r>
        <w:rPr/>
        <w:t>Assuming responsibility for ensuring the existence of an adequate credit risk management infrastructure and information systems to support, measure, monitor and manage credit exposures;</w:t>
      </w:r>
    </w:p>
    <w:p>
      <w:pPr>
        <w:pStyle w:val="Index9"/>
        <w:numPr>
          <w:ilvl w:val="0"/>
          <w:numId w:val="4"/>
        </w:numPr>
        <w:ind w:hanging="0" w:start="0"/>
        <w:rPr/>
      </w:pPr>
      <w:r>
        <w:rPr/>
        <w:t>Maintaining current and complete credit files;</w:t>
      </w:r>
    </w:p>
    <w:p>
      <w:pPr>
        <w:pStyle w:val="Index9"/>
        <w:numPr>
          <w:ilvl w:val="0"/>
          <w:numId w:val="4"/>
        </w:numPr>
        <w:ind w:hanging="0" w:start="0"/>
        <w:rPr/>
      </w:pPr>
      <w:r>
        <w:rPr/>
        <w:t>Actively monitoring counterparty credit events and industry / market trends for potentially adverse effects on the counterparty’s credit profile, using internal and external information sources;</w:t>
      </w:r>
    </w:p>
    <w:p>
      <w:pPr>
        <w:pStyle w:val="Index9"/>
        <w:numPr>
          <w:ilvl w:val="0"/>
          <w:numId w:val="4"/>
        </w:numPr>
        <w:ind w:hanging="0" w:start="0"/>
        <w:rPr/>
      </w:pPr>
      <w:r>
        <w:rPr/>
        <w:t>Monitoring and maintaining a database of counterparty credit history;</w:t>
      </w:r>
    </w:p>
    <w:p>
      <w:pPr>
        <w:pStyle w:val="Index9"/>
        <w:numPr>
          <w:ilvl w:val="0"/>
          <w:numId w:val="4"/>
        </w:numPr>
        <w:ind w:hanging="0" w:start="0"/>
        <w:rPr/>
      </w:pPr>
      <w:r>
        <w:rPr/>
        <w:t>Performing credit risk measurement calculations</w:t>
      </w:r>
    </w:p>
    <w:p>
      <w:pPr>
        <w:pStyle w:val="Index9"/>
        <w:numPr>
          <w:ilvl w:val="0"/>
          <w:numId w:val="4"/>
        </w:numPr>
        <w:ind w:hanging="0" w:start="0"/>
        <w:rPr/>
      </w:pPr>
      <w:r>
        <w:rPr/>
        <w:t>Preparing daily management reports documenting credit exposures, limits and excesses for business unit activities and distributing them to the proper personnel; Providing new product development and approval support if the proposed strategy includes dealing with new types of counterparties; and</w:t>
      </w:r>
    </w:p>
    <w:p>
      <w:pPr>
        <w:pStyle w:val="Index9"/>
        <w:numPr>
          <w:ilvl w:val="0"/>
          <w:numId w:val="4"/>
        </w:numPr>
        <w:ind w:hanging="0" w:start="0"/>
        <w:rPr/>
      </w:pPr>
      <w:r>
        <w:rPr/>
        <w:t>Reviewing and recommending for approval to the Chief Risk Officer counterparty credit lines in accordance with designated approval limit (see section ___ of this Policy for a discussion of approval limits);</w:t>
      </w:r>
    </w:p>
    <w:p>
      <w:pPr>
        <w:pStyle w:val="Index9"/>
        <w:numPr>
          <w:ilvl w:val="0"/>
          <w:numId w:val="4"/>
        </w:numPr>
        <w:ind w:hanging="0" w:start="0"/>
        <w:rPr/>
      </w:pPr>
      <w:r>
        <w:rPr/>
        <w:t>Ensuring adherence to the credit risk policies and to the overall risk tolerance established by the Risk Committee;</w:t>
      </w:r>
    </w:p>
    <w:p>
      <w:pPr>
        <w:pStyle w:val="Index9"/>
        <w:numPr>
          <w:ilvl w:val="0"/>
          <w:numId w:val="4"/>
        </w:numPr>
        <w:ind w:hanging="0" w:start="0"/>
        <w:rPr/>
      </w:pPr>
      <w:r>
        <w:rPr/>
        <w:t>Developing and promoting effective communication within the organization to facilitate credit approvals, monitor credit risks and manage policy related matters;</w:t>
      </w:r>
    </w:p>
    <w:p>
      <w:pPr>
        <w:pStyle w:val="Index9"/>
        <w:numPr>
          <w:ilvl w:val="0"/>
          <w:numId w:val="4"/>
        </w:numPr>
        <w:ind w:hanging="0" w:start="0"/>
        <w:rPr/>
      </w:pPr>
      <w:r>
        <w:rPr/>
        <w:t>Overseeing the development of policies, methodologies, and practices for measuring, monitoring and managing the credit risk exposures of business units;</w:t>
      </w:r>
    </w:p>
    <w:p>
      <w:pPr>
        <w:pStyle w:val="Index9"/>
        <w:numPr>
          <w:ilvl w:val="0"/>
          <w:numId w:val="4"/>
        </w:numPr>
        <w:ind w:hanging="0" w:start="0"/>
        <w:rPr/>
      </w:pPr>
      <w:r>
        <w:rPr/>
        <w:t>Approving counterparty credit lines to counterparties;</w:t>
      </w:r>
    </w:p>
    <w:p>
      <w:pPr>
        <w:pStyle w:val="Index9"/>
        <w:numPr>
          <w:ilvl w:val="0"/>
          <w:numId w:val="4"/>
        </w:numPr>
        <w:ind w:hanging="0" w:start="0"/>
        <w:rPr/>
      </w:pPr>
      <w:r>
        <w:rPr/>
        <w:t xml:space="preserve">Periodically reviewing and recommending to the necessary adjustments and revisions to credit risk policies; </w:t>
      </w:r>
    </w:p>
    <w:p>
      <w:pPr>
        <w:pStyle w:val="Index9"/>
        <w:numPr>
          <w:ilvl w:val="0"/>
          <w:numId w:val="4"/>
        </w:numPr>
        <w:ind w:hanging="0" w:start="0"/>
        <w:rPr/>
      </w:pPr>
      <w:r>
        <w:rPr/>
        <w:t>Ensuring that the proper infrastructure, including systems, is available to support business units’ credit risk management framework;</w:t>
      </w:r>
    </w:p>
    <w:p>
      <w:pPr>
        <w:pStyle w:val="Index9"/>
        <w:numPr>
          <w:ilvl w:val="0"/>
          <w:numId w:val="4"/>
        </w:numPr>
        <w:ind w:hanging="0" w:start="0"/>
        <w:rPr/>
      </w:pPr>
      <w:r>
        <w:rPr/>
        <w:t>Coordinating among credit risk management functions in the Regulated Domestic Asset Portfolio to ensure compliance with this Policy</w:t>
      </w:r>
    </w:p>
    <w:p>
      <w:pPr>
        <w:pStyle w:val="Heading3"/>
        <w:numPr>
          <w:ilvl w:val="2"/>
          <w:numId w:val="6"/>
        </w:numPr>
        <w:rPr/>
      </w:pPr>
      <w:bookmarkStart w:id="68" w:name="__RefHeading___Toc516910312"/>
      <w:bookmarkEnd w:id="68"/>
      <w:r>
        <w:rPr/>
        <w:t>Market Risk Management</w:t>
      </w:r>
    </w:p>
    <w:p>
      <w:pPr>
        <w:pStyle w:val="Index3"/>
        <w:rPr/>
      </w:pPr>
      <w:r>
        <w:rPr/>
        <w:t>Reporting to the Chief Risk Officer, the market risk management function within RAC has direct day-to-day oversight of all market risks inherent in Enron Business Units’ activities.  The function’s primary responsibility is to identify, report and monitor market risk exposures and ensure that senior management is kept informed regarding these exposures.   More specifically, these responsibilities include, among other things:</w:t>
      </w:r>
    </w:p>
    <w:p>
      <w:pPr>
        <w:pStyle w:val="Index3"/>
        <w:rPr/>
      </w:pPr>
      <w:r>
        <w:rPr/>
      </w:r>
    </w:p>
    <w:p>
      <w:pPr>
        <w:pStyle w:val="Index9"/>
        <w:numPr>
          <w:ilvl w:val="0"/>
          <w:numId w:val="16"/>
        </w:numPr>
        <w:ind w:hanging="0" w:start="0"/>
        <w:rPr/>
      </w:pPr>
      <w:r>
        <w:rPr/>
        <w:t>Ensuring adherence to the market risk policies governed by this Policy and to the overall risk appetite established by the Board;</w:t>
      </w:r>
    </w:p>
    <w:p>
      <w:pPr>
        <w:pStyle w:val="Index9"/>
        <w:numPr>
          <w:ilvl w:val="0"/>
          <w:numId w:val="4"/>
        </w:numPr>
        <w:ind w:hanging="0" w:start="0"/>
        <w:rPr/>
      </w:pPr>
      <w:r>
        <w:rPr/>
        <w:t>Reviewing the market risk limit structure monitoring and reporting to ensure effective monitoring derivative activities in compliance with the Policy</w:t>
      </w:r>
    </w:p>
    <w:p>
      <w:pPr>
        <w:pStyle w:val="Index9"/>
        <w:numPr>
          <w:ilvl w:val="0"/>
          <w:numId w:val="4"/>
        </w:numPr>
        <w:ind w:hanging="0" w:start="0"/>
        <w:rPr/>
      </w:pPr>
      <w:r>
        <w:rPr/>
        <w:t>Developing and promoting effective communication within the organization to facilitate new product and new Commodity Group approvals;</w:t>
      </w:r>
    </w:p>
    <w:p>
      <w:pPr>
        <w:pStyle w:val="Index9"/>
        <w:numPr>
          <w:ilvl w:val="0"/>
          <w:numId w:val="4"/>
        </w:numPr>
        <w:ind w:hanging="0" w:start="0"/>
        <w:rPr/>
      </w:pPr>
      <w:r>
        <w:rPr/>
        <w:t>Addressing special valuation issues or specifying limitations on the use of certain derivatives;</w:t>
      </w:r>
    </w:p>
    <w:p>
      <w:pPr>
        <w:pStyle w:val="Index9"/>
        <w:numPr>
          <w:ilvl w:val="0"/>
          <w:numId w:val="4"/>
        </w:numPr>
        <w:ind w:hanging="0" w:start="0"/>
        <w:rPr/>
      </w:pPr>
      <w:r>
        <w:rPr/>
        <w:t>Overseeing the development of policies, methodologies, and practices for measuring, monitoring and managing the market risk exposures;</w:t>
      </w:r>
    </w:p>
    <w:p>
      <w:pPr>
        <w:pStyle w:val="Index9"/>
        <w:numPr>
          <w:ilvl w:val="0"/>
          <w:numId w:val="4"/>
        </w:numPr>
        <w:ind w:hanging="0" w:start="0"/>
        <w:rPr/>
      </w:pPr>
      <w:r>
        <w:rPr/>
        <w:t>Reviewing and approving Benchmark Position methodology, reviewing curve validation results, stress test results, and any other significant analyses prepared by RMO</w:t>
      </w:r>
    </w:p>
    <w:p>
      <w:pPr>
        <w:pStyle w:val="Index9"/>
        <w:numPr>
          <w:ilvl w:val="0"/>
          <w:numId w:val="4"/>
        </w:numPr>
        <w:ind w:hanging="0" w:start="0"/>
        <w:rPr/>
      </w:pPr>
      <w:r>
        <w:rPr/>
        <w:t>Resolving limit and policy interpretation issues raised by Risk Management Operations and the Enron Business Unit trading functions;</w:t>
      </w:r>
    </w:p>
    <w:p>
      <w:pPr>
        <w:pStyle w:val="Index9"/>
        <w:numPr>
          <w:ilvl w:val="0"/>
          <w:numId w:val="4"/>
        </w:numPr>
        <w:ind w:hanging="0" w:start="0"/>
        <w:rPr/>
      </w:pPr>
      <w:r>
        <w:rPr/>
        <w:t>Proposing a market risk limit structure to the Risk Committee;</w:t>
      </w:r>
    </w:p>
    <w:p>
      <w:pPr>
        <w:pStyle w:val="Index9"/>
        <w:numPr>
          <w:ilvl w:val="0"/>
          <w:numId w:val="4"/>
        </w:numPr>
        <w:ind w:hanging="0" w:start="0"/>
        <w:rPr/>
      </w:pPr>
      <w:r>
        <w:rPr/>
        <w:t>Ensuring that the proper infrastructure, including systems, is available to support business units’ market risk management framework;</w:t>
      </w:r>
    </w:p>
    <w:p>
      <w:pPr>
        <w:pStyle w:val="Index9"/>
        <w:numPr>
          <w:ilvl w:val="0"/>
          <w:numId w:val="4"/>
        </w:numPr>
        <w:ind w:hanging="0" w:start="0"/>
        <w:rPr/>
      </w:pPr>
      <w:r>
        <w:rPr/>
        <w:t>Conducting ongoing analysis of Portfolios to ensure market risks are adequately controlled and measured within the existing limit structures or coordinating with strategic risk management to develop new limit structures;</w:t>
      </w:r>
    </w:p>
    <w:p>
      <w:pPr>
        <w:pStyle w:val="Index9"/>
        <w:numPr>
          <w:ilvl w:val="0"/>
          <w:numId w:val="4"/>
        </w:numPr>
        <w:ind w:hanging="0" w:start="0"/>
        <w:rPr/>
      </w:pPr>
      <w:r>
        <w:rPr/>
        <w:t>Performing trend analyses on the risk profiles and profitability of specific Commodity Groups;</w:t>
      </w:r>
    </w:p>
    <w:p>
      <w:pPr>
        <w:pStyle w:val="Index9"/>
        <w:numPr>
          <w:ilvl w:val="0"/>
          <w:numId w:val="4"/>
        </w:numPr>
        <w:ind w:hanging="0" w:start="0"/>
        <w:rPr/>
      </w:pPr>
      <w:r>
        <w:rPr/>
        <w:t>Performing sensitivity analyses of market parameters on the daily profit and loss activity;</w:t>
      </w:r>
    </w:p>
    <w:p>
      <w:pPr>
        <w:pStyle w:val="Index9"/>
        <w:numPr>
          <w:ilvl w:val="0"/>
          <w:numId w:val="4"/>
        </w:numPr>
        <w:ind w:hanging="0" w:start="0"/>
        <w:rPr/>
      </w:pPr>
      <w:r>
        <w:rPr/>
        <w:t>Evaluating the effectiveness of the VaR process via backtesting; refining VaR model requirements;</w:t>
      </w:r>
    </w:p>
    <w:p>
      <w:pPr>
        <w:pStyle w:val="Heading3"/>
        <w:numPr>
          <w:ilvl w:val="2"/>
          <w:numId w:val="6"/>
        </w:numPr>
        <w:rPr/>
      </w:pPr>
      <w:bookmarkStart w:id="69" w:name="__RefHeading___Toc516910313"/>
      <w:r>
        <w:rPr/>
        <w:t>Strategic Risk Management</w:t>
      </w:r>
      <w:bookmarkEnd w:id="69"/>
      <w:r>
        <w:rPr/>
        <w:t xml:space="preserve"> </w:t>
      </w:r>
    </w:p>
    <w:p>
      <w:pPr>
        <w:pStyle w:val="Index3"/>
        <w:rPr/>
      </w:pPr>
      <w:r>
        <w:rPr/>
        <w:t>Reporting to the Chief Risk Officer, the strategic risk management function within RAC handles a variety of special projects under the Company’s enterprise wide risk management policy.  More specifically, these responsibilities include:</w:t>
      </w:r>
    </w:p>
    <w:p>
      <w:pPr>
        <w:pStyle w:val="Index3"/>
        <w:rPr/>
      </w:pPr>
      <w:r>
        <w:rPr/>
      </w:r>
    </w:p>
    <w:p>
      <w:pPr>
        <w:pStyle w:val="Index9"/>
        <w:numPr>
          <w:ilvl w:val="0"/>
          <w:numId w:val="17"/>
        </w:numPr>
        <w:ind w:hanging="0" w:start="0"/>
        <w:rPr/>
      </w:pPr>
      <w:r>
        <w:rPr/>
        <w:t xml:space="preserve">Developing the Company’s overall Risk Management Policy to establish best practices on an enterprise wide basis, coordinating with credit and market risk management functions </w:t>
      </w:r>
    </w:p>
    <w:p>
      <w:pPr>
        <w:pStyle w:val="Index9"/>
        <w:numPr>
          <w:ilvl w:val="0"/>
          <w:numId w:val="4"/>
        </w:numPr>
        <w:ind w:hanging="0" w:start="0"/>
        <w:rPr/>
      </w:pPr>
      <w:r>
        <w:rPr/>
        <w:t>Designing processes for effective implementation of enterprise wide risk management initiatives by leading cross-functional teams across the Company</w:t>
      </w:r>
    </w:p>
    <w:p>
      <w:pPr>
        <w:pStyle w:val="Index9"/>
        <w:numPr>
          <w:ilvl w:val="0"/>
          <w:numId w:val="4"/>
        </w:numPr>
        <w:ind w:hanging="0" w:start="0"/>
        <w:rPr/>
      </w:pPr>
      <w:r>
        <w:rPr/>
        <w:t>Identifying, reporting and monitoring exposures not being handled in the Company’s normal credit risk and market risk management activities, including reviewing of exposures in Portfolios other than those in the Trading Portfolio</w:t>
      </w:r>
    </w:p>
    <w:p>
      <w:pPr>
        <w:pStyle w:val="Index9"/>
        <w:numPr>
          <w:ilvl w:val="0"/>
          <w:numId w:val="4"/>
        </w:numPr>
        <w:ind w:hanging="0" w:start="0"/>
        <w:rPr/>
      </w:pPr>
      <w:r>
        <w:rPr/>
        <w:t>Recommending and executing hedging strategies for foreign currency exposures the Enron Business Units elect not to hedge, but that the Risk Committee determines to be consistent with the Company’s risk tolerance</w:t>
      </w:r>
    </w:p>
    <w:p>
      <w:pPr>
        <w:pStyle w:val="Index9"/>
        <w:numPr>
          <w:ilvl w:val="0"/>
          <w:numId w:val="4"/>
        </w:numPr>
        <w:ind w:hanging="0" w:start="0"/>
        <w:rPr/>
      </w:pPr>
      <w:r>
        <w:rPr/>
        <w:t>Recommending hedging strategies for stock option and other Enron Capital Portfolio exposures</w:t>
      </w:r>
    </w:p>
    <w:p>
      <w:pPr>
        <w:pStyle w:val="Index9"/>
        <w:numPr>
          <w:ilvl w:val="0"/>
          <w:numId w:val="4"/>
        </w:numPr>
        <w:ind w:hanging="0" w:start="0"/>
        <w:rPr/>
      </w:pPr>
      <w:r>
        <w:rPr/>
        <w:t>Reviewing proposed modifications to existing risk measurement methodologies</w:t>
      </w:r>
    </w:p>
    <w:p>
      <w:pPr>
        <w:pStyle w:val="Index9"/>
        <w:numPr>
          <w:ilvl w:val="0"/>
          <w:numId w:val="4"/>
        </w:numPr>
        <w:ind w:hanging="0" w:start="0"/>
        <w:rPr/>
      </w:pPr>
      <w:r>
        <w:rPr/>
        <w:t>Developing new risk measurement tools for market risk, credit risk and operational risk, while coordinating the Company’s research function;</w:t>
      </w:r>
    </w:p>
    <w:p>
      <w:pPr>
        <w:pStyle w:val="Index9"/>
        <w:numPr>
          <w:ilvl w:val="0"/>
          <w:numId w:val="4"/>
        </w:numPr>
        <w:ind w:hanging="0" w:start="0"/>
        <w:rPr/>
      </w:pPr>
      <w:r>
        <w:rPr/>
        <w:t>Coordinating with information systems personnel to implement new risk measurement tools in the risk systems</w:t>
      </w:r>
    </w:p>
    <w:p>
      <w:pPr>
        <w:pStyle w:val="Index9"/>
        <w:numPr>
          <w:ilvl w:val="0"/>
          <w:numId w:val="4"/>
        </w:numPr>
        <w:ind w:hanging="0" w:start="0"/>
        <w:rPr/>
      </w:pPr>
      <w:r>
        <w:rPr/>
        <w:t>Performing or reviewing special analyses on the Company’s overall risks, using specialized stress tests and scenario tests</w:t>
      </w:r>
    </w:p>
    <w:p>
      <w:pPr>
        <w:pStyle w:val="Index9"/>
        <w:numPr>
          <w:ilvl w:val="0"/>
          <w:numId w:val="4"/>
        </w:numPr>
        <w:ind w:hanging="0" w:start="0"/>
        <w:rPr/>
      </w:pPr>
      <w:r>
        <w:rPr/>
        <w:t>Overseeing a model vetting process for significant transactions to ensure market and credit risks are accurately quantified</w:t>
      </w:r>
    </w:p>
    <w:p>
      <w:pPr>
        <w:pStyle w:val="Index9"/>
        <w:numPr>
          <w:ilvl w:val="0"/>
          <w:numId w:val="4"/>
        </w:numPr>
        <w:ind w:hanging="0" w:start="0"/>
        <w:rPr/>
      </w:pPr>
      <w:r>
        <w:rPr/>
        <w:t>(</w:t>
      </w:r>
      <w:r>
        <w:rPr>
          <w:i/>
          <w:iCs/>
          <w:color w:val="0000FF"/>
        </w:rPr>
        <w:t>review with Zipter and Andrews</w:t>
      </w:r>
      <w:r>
        <w:rPr/>
        <w:t>)</w:t>
      </w:r>
    </w:p>
    <w:p>
      <w:pPr>
        <w:pStyle w:val="Heading2"/>
        <w:numPr>
          <w:ilvl w:val="1"/>
          <w:numId w:val="6"/>
        </w:numPr>
        <w:rPr/>
      </w:pPr>
      <w:bookmarkStart w:id="70" w:name="__RefHeading___Toc516910314"/>
      <w:bookmarkEnd w:id="70"/>
      <w:r>
        <w:rPr/>
        <w:t>Treasury</w:t>
      </w:r>
    </w:p>
    <w:p>
      <w:pPr>
        <w:pStyle w:val="Index2"/>
        <w:rPr/>
      </w:pPr>
      <w:r>
        <w:rPr/>
        <w:t>Treasury supports the enterprise wide risk management policy by managing funding liquidity risk as addressed in section ___  and Appendix ___of this Policy.  These responsibilities include obtaining or preparing cash flow projections, considering both business-as-usual scenarios and planning for liquidity constraints.  (</w:t>
      </w:r>
      <w:r>
        <w:rPr>
          <w:i/>
          <w:iCs w:val="false"/>
          <w:color w:val="0000FF"/>
        </w:rPr>
        <w:t>review w/Perkins and/or Glisan</w:t>
      </w:r>
      <w:r>
        <w:rPr/>
        <w:t>)</w:t>
      </w:r>
    </w:p>
    <w:p>
      <w:pPr>
        <w:pStyle w:val="Heading2"/>
        <w:numPr>
          <w:ilvl w:val="1"/>
          <w:numId w:val="6"/>
        </w:numPr>
        <w:rPr/>
      </w:pPr>
      <w:bookmarkStart w:id="71" w:name="__RefHeading___Toc516910315"/>
      <w:bookmarkEnd w:id="71"/>
      <w:r>
        <w:rPr/>
        <w:t>Internal Audit (Enron Assurance Services)</w:t>
      </w:r>
    </w:p>
    <w:p>
      <w:pPr>
        <w:pStyle w:val="Index2"/>
        <w:rPr/>
      </w:pPr>
      <w:r>
        <w:rPr/>
        <w:t>The mission of the Company’s internal audit function is to improve the Company’s operations by bringing an independent, systematic and disciplined approach to evaluate and enhance the effectiveness of risk management, control and governance processes.  The Company’s Enron Assurance Services department shall accomplish this objective by coordinating with various control and monitoring functions across the company, including: independent public accountants, RAC, information technology compliance, security, legal, ethics, environmental, and quality management.</w:t>
      </w:r>
    </w:p>
    <w:p>
      <w:pPr>
        <w:pStyle w:val="Index2"/>
        <w:rPr/>
      </w:pPr>
      <w:r>
        <w:rPr/>
        <w:t>Internal Audit is responsible for performing independent audits of the Company’s risk management processes and informing business unit and corporate management of any risk control issues identified. (</w:t>
      </w:r>
      <w:r>
        <w:rPr>
          <w:i/>
          <w:iCs w:val="false"/>
          <w:color w:val="0000FF"/>
        </w:rPr>
        <w:t>review w/Kilchrist</w:t>
      </w:r>
      <w:r>
        <w:rPr/>
        <w:t>)</w:t>
      </w:r>
    </w:p>
    <w:p>
      <w:pPr>
        <w:pStyle w:val="Heading1"/>
        <w:numPr>
          <w:ilvl w:val="0"/>
          <w:numId w:val="6"/>
        </w:numPr>
        <w:rPr/>
      </w:pPr>
      <w:bookmarkStart w:id="72" w:name="__RefHeading___Toc516910316"/>
      <w:bookmarkEnd w:id="72"/>
      <w:r>
        <w:rPr/>
        <w:t>Miscellaneous</w:t>
      </w:r>
    </w:p>
    <w:p>
      <w:pPr>
        <w:pStyle w:val="Heading2"/>
        <w:numPr>
          <w:ilvl w:val="1"/>
          <w:numId w:val="6"/>
        </w:numPr>
        <w:rPr/>
      </w:pPr>
      <w:bookmarkStart w:id="73" w:name="__RefHeading___Toc516910317"/>
      <w:bookmarkEnd w:id="73"/>
      <w:r>
        <mc:AlternateContent>
          <mc:Choice Requires="wps">
            <w:drawing>
              <wp:anchor behindDoc="0" distT="0" distB="0" distL="114935" distR="114935" simplePos="0" locked="0" layoutInCell="1" allowOverlap="1" relativeHeight="86">
                <wp:simplePos x="0" y="0"/>
                <wp:positionH relativeFrom="column">
                  <wp:posOffset>6681470</wp:posOffset>
                </wp:positionH>
                <wp:positionV relativeFrom="paragraph">
                  <wp:posOffset>265430</wp:posOffset>
                </wp:positionV>
                <wp:extent cx="387985" cy="676910"/>
                <wp:effectExtent l="0" t="0" r="0" b="0"/>
                <wp:wrapNone/>
                <wp:docPr id="5" name=""/>
                <a:graphic xmlns:a="http://schemas.openxmlformats.org/drawingml/2006/main">
                  <a:graphicData uri="http://schemas.microsoft.com/office/word/2010/wordprocessingShape">
                    <wps:wsp>
                      <wps:cNvSpPr txBox="1"/>
                      <wps:spPr>
                        <a:xfrm rot="10800000">
                          <a:off x="0" y="0"/>
                          <a:ext cx="388080" cy="676800"/>
                        </a:xfrm>
                        <a:prstGeom prst="rect">
                          <a:avLst/>
                        </a:prstGeom>
                        <a:noFill/>
                        <a:ln w="0">
                          <a:noFill/>
                        </a:ln>
                      </wps:spPr>
                      <wps:txbx>
                        <w:txbxContent>
                          <w:p>
                            <w:pPr>
                              <w:overflowPunct w:val="false"/>
                              <w:bidi w:val="0"/>
                              <w:rPr/>
                            </w:pPr>
                            <w:r>
                              <w:rPr>
                                <w:kern w:val="2"/>
                                <w:sz w:val="22"/>
                                <w:szCs w:val="20"/>
                                <w:rFonts w:ascii="Arial" w:hAnsi="Arial" w:eastAsia="Times New Roman" w:cs="Arial"/>
                                <w:color w:val="auto"/>
                                <w:lang w:val="en-GB" w:bidi="ar-SA"/>
                              </w:rPr>
                              <w:t>5A-6</w:t>
                            </w:r>
                          </w:p>
                        </w:txbxContent>
                      </wps:txbx>
                      <wps:bodyPr wrap="square" lIns="45720" rIns="45720" tIns="91440" bIns="91440" anchor="ctr">
                        <a:noAutofit/>
                      </wps:bodyPr>
                    </wps:wsp>
                  </a:graphicData>
                </a:graphic>
              </wp:anchor>
            </w:drawing>
          </mc:Choice>
          <mc:Fallback>
            <w:pict>
              <v:shape id="shape_0" stroked="f" o:allowincell="f" style="position:absolute;margin-left:526.1pt;margin-top:20.9pt;width:30.5pt;height:53.25pt;mso-wrap-style:none;v-text-anchor:middle;rotation:180" type="_x0000_t202">
                <v:textbox>
                  <w:txbxContent>
                    <w:p>
                      <w:pPr>
                        <w:overflowPunct w:val="false"/>
                        <w:bidi w:val="0"/>
                        <w:rPr/>
                      </w:pPr>
                      <w:r>
                        <w:rPr>
                          <w:kern w:val="2"/>
                          <w:sz w:val="22"/>
                          <w:szCs w:val="20"/>
                          <w:rFonts w:ascii="Arial" w:hAnsi="Arial" w:eastAsia="Times New Roman" w:cs="Arial"/>
                          <w:color w:val="auto"/>
                          <w:lang w:val="en-GB" w:bidi="ar-SA"/>
                        </w:rPr>
                        <w:t>5A-6</w:t>
                      </w:r>
                    </w:p>
                  </w:txbxContent>
                </v:textbox>
                <v:fill o:detectmouseclick="t" on="false"/>
                <v:stroke color="#3465a4" joinstyle="round" endcap="flat"/>
                <w10:wrap type="none"/>
              </v:shape>
            </w:pict>
          </mc:Fallback>
        </mc:AlternateContent>
      </w:r>
      <w:r>
        <w:rPr/>
        <w:t>Employee Trading</w:t>
      </w:r>
    </w:p>
    <w:p>
      <w:pPr>
        <w:pStyle w:val="Index2"/>
        <w:rPr/>
      </w:pPr>
      <w:r>
        <w:rPr/>
        <w:t xml:space="preserve">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not covered by (i) included in any Commodity Group. </w:t>
      </w:r>
    </w:p>
    <w:p>
      <w:pPr>
        <w:pStyle w:val="Index2"/>
        <w:rPr>
          <w:i/>
          <w:i/>
          <w:iCs w:val="false"/>
          <w:color w:val="0000FF"/>
          <w:lang w:val="en-CA" w:eastAsia="en-CA"/>
        </w:rPr>
      </w:pPr>
      <w:r>
        <w:rPr>
          <w:i/>
          <w:iCs w:val="false"/>
          <w:color w:val="0000FF"/>
          <w:lang w:val="en-CA" w:eastAsia="en-CA"/>
        </w:rPr>
        <w:t>(add in applicable requirements from Lowry’s compliance group re: restricted list, etc.)</w:t>
      </w:r>
    </w:p>
    <w:p>
      <w:pPr>
        <w:pStyle w:val="Heading2"/>
        <w:numPr>
          <w:ilvl w:val="1"/>
          <w:numId w:val="6"/>
        </w:numPr>
        <w:rPr/>
      </w:pPr>
      <w:bookmarkStart w:id="74" w:name="__RefHeading___Toc516910318"/>
      <w:bookmarkEnd w:id="74"/>
      <w:r>
        <w:rPr/>
        <w:t>Employee Review and Compliance with Policy</w:t>
      </w:r>
    </w:p>
    <w:p>
      <w:pPr>
        <w:pStyle w:val="Index2"/>
        <w:rPr/>
      </w:pPr>
      <w:r>
        <w:rPr/>
        <w:t>As determined by the Chief Risk Officer or his designee(s),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ii) understands this Policy, and iii) has complied and will comply with this Policy, especially in the area of employee trading restrictions.</w:t>
      </w:r>
    </w:p>
    <w:p>
      <w:pPr>
        <w:pStyle w:val="Index2"/>
        <w:rPr/>
      </w:pPr>
      <w:r>
        <w:rPr/>
        <w:t>Enron Business Units and their employees should comply with this Policy.   Willful or deliberate non-compliance or falsification of risk metrics or profits and losses referred to by this Policy will be regarded as gross misconduct.</w:t>
      </w:r>
    </w:p>
    <w:p>
      <w:pPr>
        <w:pStyle w:val="Index2"/>
        <w:rPr/>
      </w:pPr>
      <w:r>
        <w:rPr>
          <w:i/>
          <w:iCs w:val="false"/>
          <w:color w:val="3366FF"/>
        </w:rPr>
        <w:t>(</w:t>
      </w:r>
      <w:r>
        <w:rPr>
          <w:i/>
          <w:iCs w:val="false"/>
          <w:color w:val="0000FF"/>
        </w:rPr>
        <w:t>add additional requirements from Lowry’s compliance group</w:t>
      </w:r>
      <w:r>
        <w:rPr/>
        <w:t>)</w:t>
      </w:r>
    </w:p>
    <w:p>
      <w:pPr>
        <w:pStyle w:val="Heading2"/>
        <w:numPr>
          <w:ilvl w:val="1"/>
          <w:numId w:val="6"/>
        </w:numPr>
        <w:rPr/>
      </w:pPr>
      <w:bookmarkStart w:id="75" w:name="__RefHeading___Toc516910319"/>
      <w:r>
        <w:rPr/>
        <w:t>Supersedes Prior Policies.</w:t>
      </w:r>
      <w:bookmarkEnd w:id="75"/>
      <w:r>
        <w:rPr/>
        <w:t xml:space="preserve">  </w:t>
      </w:r>
    </w:p>
    <w:p>
      <w:pPr>
        <w:pStyle w:val="Index2"/>
        <w:rPr/>
      </w:pPr>
      <w:r>
        <w:rPr/>
        <w:t>This Policy supersedes and replaces all previous policies of Enron Corp. approved by the Enron Corp. Board of Directors concerning risk management or trading.  This Risk Management Policy was approved by the Enron Corp. Board of Directors on August 14, 2001, and shall be amended as necessary by the Board of Directors, the dates of such amendments to be reflected on the first page hereof.</w:t>
      </w:r>
      <w:r>
        <w:br w:type="page"/>
      </w:r>
    </w:p>
    <w:p>
      <w:pPr>
        <w:pStyle w:val="EndnoteText"/>
        <w:rPr/>
      </w:pPr>
      <w:r>
        <w:rPr/>
      </w:r>
    </w:p>
    <w:p>
      <w:pPr>
        <w:pStyle w:val="Heading1"/>
        <w:numPr>
          <w:ilvl w:val="0"/>
          <w:numId w:val="6"/>
        </w:numPr>
        <w:rPr/>
      </w:pPr>
      <w:bookmarkStart w:id="76" w:name="__RefHeading___Toc516910320"/>
      <w:bookmarkEnd w:id="76"/>
      <w:r>
        <w:rPr/>
        <w:t>Glossary</w:t>
      </w:r>
    </w:p>
    <w:p>
      <w:pPr>
        <w:pStyle w:val="Normal"/>
        <w:rPr/>
      </w:pPr>
      <w:r>
        <w:rPr/>
      </w:r>
    </w:p>
    <w:p>
      <w:pPr>
        <w:pStyle w:val="Normal"/>
        <w:rPr/>
      </w:pPr>
      <w:r>
        <w:rPr>
          <w:u w:val="single"/>
        </w:rPr>
        <w:t>Basis Risk</w:t>
      </w:r>
      <w:r>
        <w:rPr/>
        <w:t xml:space="preserve"> is the risk that the value of a futures contract will not move in line with that of the underlying exposure.  Alternatively, it is the risk that the cash vs. futures spread will widen or narrow between the time at which the hedge position is implemented and liquidated.</w:t>
      </w:r>
    </w:p>
    <w:p>
      <w:pPr>
        <w:pStyle w:val="Normal"/>
        <w:rPr/>
      </w:pPr>
      <w:r>
        <w:rPr/>
      </w:r>
    </w:p>
    <w:p>
      <w:pPr>
        <w:pStyle w:val="Normal"/>
        <w:rPr/>
      </w:pPr>
      <w:r>
        <w:rPr>
          <w:u w:val="single"/>
        </w:rPr>
        <w:t>Benchmark Position</w:t>
      </w:r>
      <w:r>
        <w:rPr/>
        <w:t xml:space="preserve"> shall mean the position within a Commodity Group into which all other positions within the same Commodity Group can be converted using price volatility and correlation based conversion factors.  Such conversion factors shall be established and authorized by RAC, and any significant changes in the factors or methodology shall be reviewed and approved by RAC.</w:t>
      </w:r>
    </w:p>
    <w:p>
      <w:pPr>
        <w:pStyle w:val="Normal"/>
        <w:rPr/>
      </w:pPr>
      <w:r>
        <w:rPr/>
      </w:r>
    </w:p>
    <w:p>
      <w:pPr>
        <w:pStyle w:val="Normal"/>
        <w:rPr/>
      </w:pPr>
      <w:r>
        <w:rPr>
          <w:u w:val="single"/>
        </w:rPr>
        <w:t>Commodity Group</w:t>
      </w:r>
      <w:r>
        <w:rPr/>
        <w:t xml:space="preserve"> shall mean a collection of positions having sufficient relationship and correlation as approved by Risk Committee that allow for aggregation into a Benchmark Position.  </w:t>
      </w:r>
    </w:p>
    <w:p>
      <w:pPr>
        <w:pStyle w:val="Normal"/>
        <w:rPr/>
      </w:pPr>
      <w:r>
        <w:rPr/>
      </w:r>
    </w:p>
    <w:p>
      <w:pPr>
        <w:pStyle w:val="Normal"/>
        <w:rPr/>
      </w:pPr>
      <w:r>
        <w:rPr>
          <w:u w:val="single"/>
        </w:rPr>
        <w:t>Commodity Group Daily Position Report</w:t>
      </w:r>
      <w:r>
        <w:rPr/>
        <w:t xml:space="preserve"> shall mean a report including the following: i) Enron Business Unit Limits and corresponding actual results, ii) Commodity Group Limits and corresponding actual results; iii) Commodity Group results aggregated across the Company within the Trading Portfolio used to support the reporting of Concentration Limits, and iv) Trader/Desk Limits and corresponding actual results.</w:t>
      </w:r>
    </w:p>
    <w:p>
      <w:pPr>
        <w:pStyle w:val="Normal"/>
        <w:rPr/>
      </w:pPr>
      <w:r>
        <w:rPr/>
      </w:r>
    </w:p>
    <w:p>
      <w:pPr>
        <w:pStyle w:val="Normal"/>
        <w:rPr/>
      </w:pPr>
      <w:r>
        <w:rPr>
          <w:u w:val="single"/>
        </w:rPr>
        <w:t>Commodity Group Limits</w:t>
      </w:r>
      <w:r>
        <w:rPr/>
        <w:t xml:space="preserve"> shall mean those market risk limits assigned as described in section ____ of this Policy.</w:t>
      </w:r>
    </w:p>
    <w:p>
      <w:pPr>
        <w:pStyle w:val="Normal"/>
        <w:rPr/>
      </w:pPr>
      <w:r>
        <w:rPr/>
      </w:r>
    </w:p>
    <w:p>
      <w:pPr>
        <w:pStyle w:val="Normal"/>
        <w:rPr/>
      </w:pPr>
      <w:r>
        <w:rPr>
          <w:u w:val="single"/>
        </w:rPr>
        <w:t>Concentration Limits</w:t>
      </w:r>
      <w:r>
        <w:rPr/>
        <w:t xml:space="preserve"> shall mean the market risk limits approved by the Enron Corp. Board of Directors representing a limit on exposure to an aggregation of specified Commodity Groups comprising certain market concentrations that the Enron Corp. Board of Directors wishes to control, as described in section ____ of this Policy.  These Concentration Limits are listed in Appendix ___.</w:t>
      </w:r>
    </w:p>
    <w:p>
      <w:pPr>
        <w:pStyle w:val="Normal"/>
        <w:rPr/>
      </w:pPr>
      <w:r>
        <w:rPr/>
      </w:r>
    </w:p>
    <w:p>
      <w:pPr>
        <w:pStyle w:val="Normal"/>
        <w:rPr/>
      </w:pPr>
      <w:r>
        <w:rPr>
          <w:u w:val="single"/>
        </w:rPr>
        <w:t>Consolidated Position Report</w:t>
      </w:r>
      <w:r>
        <w:rPr/>
        <w:t xml:space="preserve"> shall mean a report including the following: the combined risk metrics of exposures included in i) the current Mark-to-Market Daily Position Report and ii) the most current Monthly Position Report for all Portfolios except the Regulated Domestic Asset Portfolio.</w:t>
      </w:r>
    </w:p>
    <w:p>
      <w:pPr>
        <w:pStyle w:val="Normal"/>
        <w:rPr/>
      </w:pPr>
      <w:r>
        <w:rPr/>
      </w:r>
    </w:p>
    <w:p>
      <w:pPr>
        <w:pStyle w:val="Normal"/>
        <w:rPr/>
      </w:pPr>
      <w:r>
        <w:rPr>
          <w:u w:val="single"/>
        </w:rPr>
        <w:t>Cross-Commodity Transaction</w:t>
      </w:r>
      <w:r>
        <w:rPr/>
        <w:t xml:space="preserve"> shall mean a transaction in a certain product for which the Head Trader of that Commodity Group does not have standard approval (i.e.  Coal trading desk might hold a North American Natural Gas position as a hedge, or as a speculative position).  The suitability and approval of Cross-Commodity Transactions shall be addressed as described in section _____ of this Policy.</w:t>
      </w:r>
    </w:p>
    <w:p>
      <w:pPr>
        <w:pStyle w:val="Normal"/>
        <w:rPr/>
      </w:pPr>
      <w:r>
        <w:rPr/>
      </w:r>
    </w:p>
    <w:p>
      <w:pPr>
        <w:pStyle w:val="Normal"/>
        <w:rPr/>
      </w:pPr>
      <w:r>
        <w:rPr>
          <w:u w:val="single"/>
        </w:rPr>
        <w:t>Cumulative 5-Day Loss</w:t>
      </w:r>
      <w:r>
        <w:rPr/>
        <w:t xml:space="preserve"> shall mean the net sum of daily profit and loss for the five consecutive business days, without giving effect to the impact of change in prudency reserves (</w:t>
      </w:r>
      <w:r>
        <w:rPr>
          <w:i/>
          <w:iCs/>
          <w:color w:val="0000FF"/>
        </w:rPr>
        <w:t>check terminology w/Georganne</w:t>
      </w:r>
      <w:r>
        <w:rPr/>
        <w:t>).  Upon a specifed Cumulative 5-Day Loss, Loss Notifications are triggered in accordance with section ____ of this Policy. Upon occurrence of a Daily Loss or a Cumulative 5-Day Loss, the Cumulative 5-day Loss calculation is reset.  This measurement shall be calculated from i) the profit or loss reported on the Company’s daily position reports, and ii) the prudency activity reported in a separate schedule.  No other adjustments to the calculation shall be considered in determining whether a Loss Notification is required, regardless of whether or not the profit and loss results include catch-up or other type of unusual entries.</w:t>
      </w:r>
    </w:p>
    <w:p>
      <w:pPr>
        <w:pStyle w:val="EndnoteText"/>
        <w:rPr/>
      </w:pPr>
      <w:r>
        <w:rPr/>
      </w:r>
    </w:p>
    <w:p>
      <w:pPr>
        <w:pStyle w:val="Normal"/>
        <w:rPr/>
      </w:pPr>
      <w:r>
        <w:rPr>
          <w:u w:val="single"/>
        </w:rPr>
        <w:t>Daily Loss</w:t>
      </w:r>
      <w:r>
        <w:rPr/>
        <w:t xml:space="preserve"> shall mean a one day loss without giving effect to the impact of change in prudency reserves (</w:t>
      </w:r>
      <w:r>
        <w:rPr>
          <w:i/>
          <w:iCs/>
          <w:color w:val="0000FF"/>
        </w:rPr>
        <w:t>check terminology w/Georganne</w:t>
      </w:r>
      <w:r>
        <w:rPr/>
        <w:t>).   Upon a specified Daily Loss, Loss Notifications are triggered in accordance with section ____ of this Policy.  The Daily Loss will be calculated using the mark</w:t>
        <w:noBreakHyphen/>
        <w:t>to</w:t>
        <w:noBreakHyphen/>
        <w:t>market method on a net present value basis, exclusive of non-trading type of originations and exclusive of prudence. This measurement shall be calculated from i) the profit or loss reported on the Company’s daily position reports, and ii) the prudency activity reported in a separate schedule.  No other adjustments to the calculation shall be considered in determining whether a Loss Notification is required, regardless of whether or not the profit and loss results include catch-up or other type of unusual entries.</w:t>
      </w:r>
    </w:p>
    <w:p>
      <w:pPr>
        <w:pStyle w:val="Normal"/>
        <w:rPr/>
      </w:pPr>
      <w:r>
        <w:rPr/>
      </w:r>
    </w:p>
    <w:p>
      <w:pPr>
        <w:pStyle w:val="Normal"/>
        <w:rPr/>
      </w:pPr>
      <w:r>
        <w:rPr>
          <w:u w:val="single"/>
        </w:rPr>
        <w:t>Daily Position Report</w:t>
      </w:r>
      <w:r>
        <w:rPr/>
        <w:t xml:space="preserve"> - see Mark-to-Market Daily Position Report, Commodity Group Daily Position Report, Monthly Position Report, or Consolidated Position Report.</w:t>
      </w:r>
    </w:p>
    <w:p>
      <w:pPr>
        <w:pStyle w:val="Normal"/>
        <w:rPr/>
      </w:pPr>
      <w:r>
        <w:rPr/>
      </w:r>
    </w:p>
    <w:p>
      <w:pPr>
        <w:pStyle w:val="Normal"/>
        <w:rPr/>
      </w:pPr>
      <w:r>
        <w:rPr>
          <w:u w:val="single"/>
        </w:rPr>
        <w:t>Discretionary VaR</w:t>
      </w:r>
      <w:r>
        <w:rPr/>
        <w:t xml:space="preserve"> shall mean the Risk Capital used to flexibly adjust the Enron Business Unit Limits as current strategies and financial plans require, based on the methodology described in section ____ of this Policy.</w:t>
      </w:r>
    </w:p>
    <w:p>
      <w:pPr>
        <w:pStyle w:val="Normal"/>
        <w:rPr/>
      </w:pPr>
      <w:r>
        <w:rPr/>
      </w:r>
    </w:p>
    <w:p>
      <w:pPr>
        <w:pStyle w:val="Normal"/>
        <w:rPr/>
      </w:pPr>
      <w:r>
        <w:rPr>
          <w:u w:val="single"/>
        </w:rPr>
        <w:t>Earnings-at-Risk (EaR</w:t>
      </w:r>
      <w:r>
        <w:rPr/>
        <w:t>) represents (</w:t>
      </w:r>
      <w:r>
        <w:rPr>
          <w:color w:val="0000FF"/>
        </w:rPr>
        <w:t>net income? gross margin</w:t>
      </w:r>
      <w:r>
        <w:rPr/>
        <w:t>?) determined to be at risk  on a rolling quarterly basis as described in section _____ of this Policy. (</w:t>
      </w:r>
      <w:r>
        <w:rPr>
          <w:i/>
          <w:iCs/>
          <w:color w:val="0000FF"/>
        </w:rPr>
        <w:t>need to expand; working with Vince</w:t>
      </w:r>
      <w:r>
        <w:rPr/>
        <w:t>)</w:t>
      </w:r>
    </w:p>
    <w:p>
      <w:pPr>
        <w:pStyle w:val="EndnoteText"/>
        <w:rPr/>
      </w:pPr>
      <w:r>
        <w:rPr/>
      </w:r>
    </w:p>
    <w:p>
      <w:pPr>
        <w:pStyle w:val="Normal"/>
        <w:rPr/>
      </w:pPr>
      <w:r>
        <w:rPr>
          <w:u w:val="single"/>
        </w:rPr>
        <w:t xml:space="preserve">Enron Business Unit(s) </w:t>
      </w:r>
      <w:r>
        <w:rPr/>
        <w:t>shall mean Enron Corp. and any entity controlled, directly or indirectly, by Enron Corp., (including internal groups created for the purposes of trading, or aligned according to the commodities set out in the Appendices),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rPr/>
      </w:pPr>
      <w:r>
        <w:rPr/>
      </w:r>
    </w:p>
    <w:p>
      <w:pPr>
        <w:pStyle w:val="Normal"/>
        <w:rPr/>
      </w:pPr>
      <w:r>
        <w:rPr>
          <w:u w:val="single"/>
        </w:rPr>
        <w:t>Expected Tail Loss (ETL)</w:t>
      </w:r>
      <w:r>
        <w:rPr/>
        <w:t xml:space="preserve"> shall represent the mean of the expected daily losses in excess of Extreme VaR, based on historical results.</w:t>
      </w:r>
    </w:p>
    <w:p>
      <w:pPr>
        <w:pStyle w:val="Normal"/>
        <w:rPr/>
      </w:pPr>
      <w:r>
        <w:rPr/>
      </w:r>
    </w:p>
    <w:p>
      <w:pPr>
        <w:pStyle w:val="Normal"/>
        <w:rPr/>
      </w:pPr>
      <w:r>
        <w:rPr>
          <w:u w:val="single"/>
        </w:rPr>
        <w:t>Extreme Value-at-Risk (EVaR)</w:t>
      </w:r>
      <w:r>
        <w:rPr/>
        <w:t xml:space="preserve"> shall mean the measurement of the maximum expected daily loss given a 99.7% confidence level and a leptokurtic distribution, based on historical results.</w:t>
      </w:r>
    </w:p>
    <w:p>
      <w:pPr>
        <w:pStyle w:val="Normal"/>
        <w:rPr/>
      </w:pPr>
      <w:r>
        <w:rPr/>
      </w:r>
    </w:p>
    <w:p>
      <w:pPr>
        <w:pStyle w:val="Normal"/>
        <w:rPr/>
      </w:pPr>
      <w:r>
        <w:rPr>
          <w:u w:val="single"/>
        </w:rPr>
        <w:t>Liquidity Risk</w:t>
      </w:r>
      <w:r>
        <w:rPr/>
        <w:t xml:space="preserve"> shall mean the risk that positions have to be purchased or sold at less than the fair value due to wide bid/offer spreads, lack of transparency and large movements in price after any sizeable deal.  Some derivative transactions may be illiquid due to customized counterparty-to-counterpary features.  Funding liquidity risk is the risk of the increased cost or inability to raise funds.</w:t>
      </w:r>
    </w:p>
    <w:p>
      <w:pPr>
        <w:pStyle w:val="Normal"/>
        <w:rPr/>
      </w:pPr>
      <w:r>
        <w:rPr/>
      </w:r>
    </w:p>
    <w:p>
      <w:pPr>
        <w:pStyle w:val="Normal"/>
        <w:rPr/>
      </w:pPr>
      <w:r>
        <w:rPr>
          <w:u w:val="single"/>
        </w:rPr>
        <w:t>Limit Violation</w:t>
      </w:r>
      <w:r>
        <w:rPr/>
        <w:t xml:space="preserve"> shall mean an occurrence where a Net Open Position, Maturity / Gap Position, or VaR measurement exceeds the corresponding limit, consequently triggering certain reporting as described in section ____ of this Policy.</w:t>
      </w:r>
    </w:p>
    <w:p>
      <w:pPr>
        <w:pStyle w:val="EndnoteText"/>
        <w:rPr/>
      </w:pPr>
      <w:r>
        <w:rPr/>
      </w:r>
    </w:p>
    <w:p>
      <w:pPr>
        <w:pStyle w:val="Normal"/>
        <w:rPr/>
      </w:pPr>
      <w:r>
        <w:rPr>
          <w:u w:val="single"/>
        </w:rPr>
        <w:t>Loss Notification</w:t>
      </w:r>
      <w:r>
        <w:rPr/>
        <w:t xml:space="preserve"> shall mean an occurrence where a Daily Loss or Cumulative 5-Day Loss measurement exceeds a specified percentage of the corresponding VaR limit, consequently triggering certain reporting as described in section ____ of this Policy.</w:t>
      </w:r>
    </w:p>
    <w:p>
      <w:pPr>
        <w:pStyle w:val="Normal"/>
        <w:rPr/>
      </w:pPr>
      <w:r>
        <w:rPr/>
      </w:r>
    </w:p>
    <w:p>
      <w:pPr>
        <w:pStyle w:val="Normal"/>
        <w:rPr/>
      </w:pPr>
      <w:r>
        <w:rPr>
          <w:u w:val="single"/>
        </w:rPr>
        <w:t>Index Risk</w:t>
      </w:r>
      <w:r>
        <w:rPr/>
        <w:t xml:space="preserve"> is the risk of change in a portfolio value as a result of a market change in the price of a physical commodity at a specified location.</w:t>
      </w:r>
    </w:p>
    <w:p>
      <w:pPr>
        <w:pStyle w:val="Normal"/>
        <w:rPr/>
      </w:pPr>
      <w:r>
        <w:rPr/>
      </w:r>
    </w:p>
    <w:p>
      <w:pPr>
        <w:pStyle w:val="Normal"/>
        <w:rPr/>
      </w:pPr>
      <w:r>
        <w:rPr>
          <w:u w:val="single"/>
        </w:rPr>
        <w:t>Maturity/Gap Position (M/G P)</w:t>
      </w:r>
      <w:r>
        <w:rPr/>
        <w:t xml:space="preserve"> shall mean the largest rolling net open position (discounted?) within a specified reference period as in indicator of risks related to non-parallel changes of forward prices or interest rates.  </w:t>
      </w:r>
    </w:p>
    <w:p>
      <w:pPr>
        <w:pStyle w:val="Normal"/>
        <w:rPr/>
      </w:pPr>
      <w:r>
        <w:rPr/>
      </w:r>
    </w:p>
    <w:p>
      <w:pPr>
        <w:pStyle w:val="Normal"/>
        <w:rPr/>
      </w:pPr>
      <w:r>
        <w:rPr>
          <w:u w:val="single"/>
        </w:rPr>
        <w:t>Mark-to-Market Daily Position Report</w:t>
      </w:r>
      <w:r>
        <w:rPr/>
        <w:t xml:space="preserve"> shall mean a daily report including the Concentration Limits, Enron Business Unit Limits, and Commodity Group level sub-limits compared to the corresponding actual results, as well any other risk parameters as may be required by RAC.</w:t>
      </w:r>
    </w:p>
    <w:p>
      <w:pPr>
        <w:pStyle w:val="EndnoteText"/>
        <w:rPr/>
      </w:pPr>
      <w:r>
        <w:rPr/>
      </w:r>
    </w:p>
    <w:p>
      <w:pPr>
        <w:pStyle w:val="Normal"/>
        <w:rPr/>
      </w:pPr>
      <w:r>
        <w:rPr>
          <w:u w:val="single"/>
        </w:rPr>
        <w:t>Net Open Position</w:t>
      </w:r>
      <w:r>
        <w:rPr/>
        <w:t xml:space="preserve"> shall mean the aggregate of the open positions in a Commodity Group on a Benchmark Position equivalent basis.</w:t>
      </w:r>
    </w:p>
    <w:p>
      <w:pPr>
        <w:pStyle w:val="Normal"/>
        <w:rPr/>
      </w:pPr>
      <w:r>
        <w:rPr/>
      </w:r>
    </w:p>
    <w:p>
      <w:pPr>
        <w:pStyle w:val="Normal"/>
        <w:rPr/>
      </w:pPr>
      <w:r>
        <w:rPr/>
        <w:t xml:space="preserve">Net Open Position for interest rate exposure is measured and limited by sensitivity analysis measured through a partial duration hedge metric. Selected points are identified on the yield curve, and position exposures are allocated to time buckets for each of these points along the yield curve.   Sensitivity is calculated by increasing the yield associated with one time bucket by one basis point while holding all other points along the curve constant.  This process is applied to each time bucket separately across the entire term structure.  </w:t>
      </w:r>
    </w:p>
    <w:p>
      <w:pPr>
        <w:pStyle w:val="Normal"/>
        <w:rPr/>
      </w:pPr>
      <w:r>
        <w:rPr/>
      </w:r>
    </w:p>
    <w:p>
      <w:pPr>
        <w:pStyle w:val="Normal"/>
        <w:rPr/>
      </w:pPr>
      <w:r>
        <w:rPr/>
        <w:t>Net Open Position calculations for foreign currency positions in the Trading Portfolio are translated an equivalent USD position using the closing spot rate.  The equivalent USD position is summed to provide the net foreign currency open position.</w:t>
      </w:r>
    </w:p>
    <w:p>
      <w:pPr>
        <w:pStyle w:val="Normal"/>
        <w:rPr/>
      </w:pPr>
      <w:r>
        <w:rPr/>
      </w:r>
    </w:p>
    <w:p>
      <w:pPr>
        <w:pStyle w:val="Normal"/>
        <w:rPr/>
      </w:pPr>
      <w:r>
        <w:rPr>
          <w:u w:val="single"/>
        </w:rPr>
        <w:t>Operational Risk Rating</w:t>
      </w:r>
      <w:r>
        <w:rPr/>
        <w:t xml:space="preserve"> shall mean the rating assigned to an Enron Business Unit or to a specific transaction for purposes of establishing the applicable return on risk capital.</w:t>
      </w:r>
    </w:p>
    <w:p>
      <w:pPr>
        <w:pStyle w:val="Normal"/>
        <w:rPr>
          <w:u w:val="single"/>
        </w:rPr>
      </w:pPr>
      <w:r>
        <w:rPr>
          <w:u w:val="single"/>
        </w:rPr>
      </w:r>
    </w:p>
    <w:p>
      <w:pPr>
        <w:pStyle w:val="Normal"/>
        <w:rPr/>
      </w:pPr>
      <w:r>
        <w:rPr>
          <w:u w:val="single"/>
        </w:rPr>
        <w:t>Portfolio</w:t>
      </w:r>
      <w:r>
        <w:rPr/>
        <w:t xml:space="preserve"> shall mean the specific aggregation of positions as defined in section ____of this Policy.</w:t>
      </w:r>
    </w:p>
    <w:p>
      <w:pPr>
        <w:pStyle w:val="Normal"/>
        <w:rPr/>
      </w:pPr>
      <w:r>
        <w:rPr/>
      </w:r>
    </w:p>
    <w:p>
      <w:pPr>
        <w:pStyle w:val="Normal"/>
        <w:rPr/>
      </w:pPr>
      <w:r>
        <w:rPr>
          <w:u w:val="single"/>
        </w:rPr>
        <w:t>Portfolio Limits</w:t>
      </w:r>
      <w:r>
        <w:rPr/>
        <w:t xml:space="preserve"> shall mean the limits assigned to aggregate positions for the specified Portfolio as described in section _____ of this Policy.</w:t>
      </w:r>
    </w:p>
    <w:p>
      <w:pPr>
        <w:pStyle w:val="Normal"/>
        <w:rPr/>
      </w:pPr>
      <w:r>
        <w:rPr/>
      </w:r>
    </w:p>
    <w:p>
      <w:pPr>
        <w:pStyle w:val="Normal"/>
        <w:rPr/>
      </w:pPr>
      <w:r>
        <w:rPr>
          <w:u w:val="single"/>
        </w:rPr>
        <w:t>Price Risk</w:t>
      </w:r>
      <w:r>
        <w:rPr/>
        <w:t xml:space="preserve"> is the risk of loss due to a market change in price.</w:t>
      </w:r>
    </w:p>
    <w:p>
      <w:pPr>
        <w:pStyle w:val="Normal"/>
        <w:rPr/>
      </w:pPr>
      <w:r>
        <w:rPr/>
      </w:r>
    </w:p>
    <w:p>
      <w:pPr>
        <w:pStyle w:val="Normal"/>
        <w:rPr/>
      </w:pPr>
      <w:r>
        <w:rPr>
          <w:u w:val="single"/>
        </w:rPr>
        <w:t>Risk Capital</w:t>
      </w:r>
      <w:r>
        <w:rPr/>
        <w:t xml:space="preserve"> represents the amount of capital at risk due to market factors, credit quality and operational events as more clearly described in section ____ of this Policy.</w:t>
      </w:r>
    </w:p>
    <w:p>
      <w:pPr>
        <w:pStyle w:val="body"/>
        <w:keepNext w:val="false"/>
        <w:numPr>
          <w:ilvl w:val="0"/>
          <w:numId w:val="0"/>
        </w:numPr>
        <w:ind w:hanging="0" w:start="0"/>
        <w:outlineLvl w:val="9"/>
        <w:rPr>
          <w:iCs/>
          <w:lang w:val="en-GB"/>
        </w:rPr>
      </w:pPr>
      <w:r>
        <w:rPr>
          <w:iCs/>
          <w:lang w:val="en-GB"/>
        </w:rPr>
      </w:r>
    </w:p>
    <w:p>
      <w:pPr>
        <w:pStyle w:val="Normal"/>
        <w:rPr/>
      </w:pPr>
      <w:r>
        <w:rPr>
          <w:u w:val="single"/>
        </w:rPr>
        <w:t>Value-at-Risk</w:t>
      </w:r>
      <w:r>
        <w:rPr/>
        <w:t xml:space="preserve"> (VaR) shall mean the potential exposure related to a Commodity Group or Position representing the potential change in value resulting from changes including: market prices, interest rates, currency rates, counterparty credit condition, liquidity, funding and settlement risk, among others.  VaR shall be calculated using the RAC approved VaR methodology at the 95% confidence interval using a 1-day time horizon.  Any recalibration or modification of the VaR methodology or parameters that take into account observed or anticipated changes in market factors or developments in VaR technologies must be approved by the RAC.</w:t>
      </w:r>
    </w:p>
    <w:p>
      <w:pPr>
        <w:pStyle w:val="Normal"/>
        <w:rPr/>
      </w:pPr>
      <w:r>
        <w:rPr/>
      </w:r>
    </w:p>
    <w:p>
      <w:pPr>
        <w:pStyle w:val="Normal"/>
        <w:rPr/>
      </w:pPr>
      <w:r>
        <w:rPr>
          <w:u w:val="single"/>
        </w:rPr>
        <w:t>Volumetric Risk</w:t>
      </w:r>
      <w:r>
        <w:rPr/>
        <w:t xml:space="preserve"> shall mean the risk of loss due to a change in expected volumes.  </w:t>
      </w:r>
    </w:p>
    <w:p>
      <w:pPr>
        <w:pStyle w:val="Normal"/>
        <w:rPr/>
      </w:pPr>
      <w:r>
        <w:rPr/>
      </w:r>
      <w:r>
        <w:br w:type="page"/>
      </w:r>
    </w:p>
    <w:p>
      <w:pPr>
        <w:pStyle w:val="Normal"/>
        <w:rPr/>
      </w:pPr>
      <w:r>
        <w:rPr/>
      </w:r>
    </w:p>
    <w:p>
      <w:pPr>
        <w:pStyle w:val="Heading1"/>
        <w:numPr>
          <w:ilvl w:val="0"/>
          <w:numId w:val="6"/>
        </w:numPr>
        <w:rPr/>
      </w:pPr>
      <w:bookmarkStart w:id="77" w:name="__RefHeading___Toc516910321"/>
      <w:bookmarkEnd w:id="77"/>
      <w:r>
        <w:rPr/>
        <w:t>Appendices</w:t>
      </w:r>
    </w:p>
    <w:p>
      <w:pPr>
        <w:pStyle w:val="Heading2"/>
        <w:numPr>
          <w:ilvl w:val="1"/>
          <w:numId w:val="6"/>
        </w:numPr>
        <w:rPr/>
      </w:pPr>
      <w:bookmarkStart w:id="78" w:name="__RefHeading___Toc516910322"/>
      <w:bookmarkEnd w:id="78"/>
      <w:r>
        <w:rPr/>
        <w:t>Fundamental Operating Standards</w:t>
      </w:r>
    </w:p>
    <w:p>
      <w:pPr>
        <w:pStyle w:val="Index3"/>
        <w:rPr/>
      </w:pPr>
      <w:r>
        <w:rPr>
          <w:rFonts w:eastAsia="Arial"/>
        </w:rPr>
        <w:t xml:space="preserve"> </w:t>
      </w:r>
      <w:r>
        <w:rPr/>
        <w:t>(see attached from Energy Ops) – may need revisions</w:t>
      </w:r>
    </w:p>
    <w:p>
      <w:pPr>
        <w:pStyle w:val="Heading3"/>
        <w:numPr>
          <w:ilvl w:val="2"/>
          <w:numId w:val="6"/>
        </w:numPr>
        <w:rPr/>
      </w:pPr>
      <w:bookmarkStart w:id="79" w:name="__RefHeading___Toc516910323"/>
      <w:bookmarkEnd w:id="79"/>
      <w:r>
        <w:rPr/>
        <w:t>Segregation of Duties</w:t>
      </w:r>
    </w:p>
    <w:p>
      <w:pPr>
        <w:pStyle w:val="Index3"/>
        <w:rPr/>
      </w:pPr>
      <w:r>
        <w:rPr/>
        <w:t>See attached (power point from Energy Ops) – may need revisions</w:t>
      </w:r>
    </w:p>
    <w:p>
      <w:pPr>
        <w:pStyle w:val="Heading2"/>
        <w:numPr>
          <w:ilvl w:val="1"/>
          <w:numId w:val="6"/>
        </w:numPr>
        <w:rPr/>
      </w:pPr>
      <w:bookmarkStart w:id="80" w:name="__RefHeading___Toc516910324"/>
      <w:bookmarkEnd w:id="80"/>
      <w:r>
        <w:rPr/>
        <w:t>Minimum Cash Control Standards</w:t>
      </w:r>
    </w:p>
    <w:p>
      <w:pPr>
        <w:pStyle w:val="Index2"/>
        <w:rPr/>
      </w:pPr>
      <w:r>
        <w:rPr/>
        <w:t>Incorporated by reference to Enron Corp. Treasury’s Minimum Cash Control Standards.</w:t>
      </w:r>
    </w:p>
    <w:p>
      <w:pPr>
        <w:pStyle w:val="Heading2"/>
        <w:numPr>
          <w:ilvl w:val="1"/>
          <w:numId w:val="6"/>
        </w:numPr>
        <w:rPr/>
      </w:pPr>
      <w:bookmarkStart w:id="81" w:name="__RefHeading___Toc516910325"/>
      <w:bookmarkEnd w:id="81"/>
      <w:r>
        <w:rPr/>
        <w:t>Code of Ethics</w:t>
      </w:r>
    </w:p>
    <w:p>
      <w:pPr>
        <w:pStyle w:val="Index2"/>
        <w:rPr/>
      </w:pPr>
      <w:r>
        <w:rPr/>
        <w:t>Incorporated by reference to the Company’s Code of Ethics.</w:t>
      </w:r>
    </w:p>
    <w:p>
      <w:pPr>
        <w:pStyle w:val="Heading2"/>
        <w:numPr>
          <w:ilvl w:val="1"/>
          <w:numId w:val="6"/>
        </w:numPr>
        <w:rPr/>
      </w:pPr>
      <w:bookmarkStart w:id="82" w:name="__RefHeading___Toc516910326"/>
      <w:r>
        <w:rPr/>
        <w:t>Portfolio Limits</w:t>
      </w:r>
      <w:bookmarkEnd w:id="82"/>
      <w:r>
        <w:rPr/>
        <w:t xml:space="preserve"> </w:t>
      </w:r>
    </w:p>
    <w:p>
      <w:pPr>
        <w:pStyle w:val="Index2"/>
        <w:rPr/>
      </w:pPr>
      <w:r>
        <w:rPr/>
        <w:t>to be attached</w:t>
      </w:r>
    </w:p>
    <w:p>
      <w:pPr>
        <w:pStyle w:val="Heading2"/>
        <w:numPr>
          <w:ilvl w:val="1"/>
          <w:numId w:val="6"/>
        </w:numPr>
        <w:rPr/>
      </w:pPr>
      <w:bookmarkStart w:id="83" w:name="__RefHeading___Toc516910327"/>
      <w:bookmarkEnd w:id="83"/>
      <w:r>
        <w:rPr/>
        <w:t>Concentration Limits</w:t>
      </w:r>
    </w:p>
    <w:p>
      <w:pPr>
        <w:pStyle w:val="Index3"/>
        <w:rPr/>
      </w:pPr>
      <w:r>
        <w:rPr/>
        <w:t>to be attached</w:t>
      </w:r>
    </w:p>
    <w:p>
      <w:pPr>
        <w:pStyle w:val="Heading2"/>
        <w:numPr>
          <w:ilvl w:val="1"/>
          <w:numId w:val="6"/>
        </w:numPr>
        <w:rPr/>
      </w:pPr>
      <w:bookmarkStart w:id="84" w:name="__RefHeading___Toc516910328"/>
      <w:bookmarkEnd w:id="84"/>
      <w:r>
        <w:rPr/>
        <w:t>Credit Risk Management Limits and Procedures</w:t>
      </w:r>
    </w:p>
    <w:p>
      <w:pPr>
        <w:pStyle w:val="Index2"/>
        <w:rPr/>
      </w:pPr>
      <w:r>
        <w:rPr>
          <w:rFonts w:eastAsia="Arial"/>
        </w:rPr>
        <w:t xml:space="preserve"> </w:t>
      </w:r>
      <w:r>
        <w:rPr/>
        <w:t>(to come from CRM)</w:t>
      </w:r>
    </w:p>
    <w:p>
      <w:pPr>
        <w:pStyle w:val="Heading2"/>
        <w:numPr>
          <w:ilvl w:val="1"/>
          <w:numId w:val="6"/>
        </w:numPr>
        <w:rPr/>
      </w:pPr>
      <w:bookmarkStart w:id="85" w:name="__RefHeading___Toc516910329"/>
      <w:bookmarkEnd w:id="85"/>
      <w:r>
        <w:rPr/>
        <w:t>Model Guidelines</w:t>
      </w:r>
    </w:p>
    <w:p>
      <w:pPr>
        <w:pStyle w:val="Index3"/>
        <w:rPr/>
      </w:pPr>
      <w:r>
        <w:rPr/>
        <w:t xml:space="preserve">See attached (from Ruane) </w:t>
      </w:r>
    </w:p>
    <w:p>
      <w:pPr>
        <w:pStyle w:val="Heading2"/>
        <w:numPr>
          <w:ilvl w:val="1"/>
          <w:numId w:val="6"/>
        </w:numPr>
        <w:rPr/>
      </w:pPr>
      <w:bookmarkStart w:id="86" w:name="__RefHeading___Toc516910330"/>
      <w:bookmarkEnd w:id="86"/>
      <w:r>
        <w:rPr/>
        <w:t>Transaction Approval Process</w:t>
      </w:r>
    </w:p>
    <w:p>
      <w:pPr>
        <w:pStyle w:val="Index3"/>
        <w:rPr/>
      </w:pPr>
      <w:r>
        <w:rPr/>
        <w:t>See attached (from Gorte)</w:t>
      </w:r>
    </w:p>
    <w:p>
      <w:pPr>
        <w:pStyle w:val="Index3"/>
        <w:rPr/>
      </w:pPr>
      <w:r>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4605" cy="160655"/>
              <wp:effectExtent l="0" t="0" r="0" b="0"/>
              <wp:wrapSquare wrapText="bothSides"/>
              <wp:docPr id="7" name="Frame2"/>
              <a:graphic xmlns:a="http://schemas.openxmlformats.org/drawingml/2006/main">
                <a:graphicData uri="http://schemas.microsoft.com/office/word/2010/wordprocessingShape">
                  <wps:wsp>
                    <wps:cNvSpPr txBox="1"/>
                    <wps:spPr>
                      <a:xfrm>
                        <a:off x="0" y="0"/>
                        <a:ext cx="14605" cy="1606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2.6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85">
              <wp:simplePos x="0" y="0"/>
              <wp:positionH relativeFrom="margin">
                <wp:align>right</wp:align>
              </wp:positionH>
              <wp:positionV relativeFrom="paragraph">
                <wp:posOffset>635</wp:posOffset>
              </wp:positionV>
              <wp:extent cx="155575" cy="160655"/>
              <wp:effectExtent l="0" t="0" r="0" b="0"/>
              <wp:wrapSquare wrapText="bothSides"/>
              <wp:docPr id="6" name="Frame3"/>
              <a:graphic xmlns:a="http://schemas.openxmlformats.org/drawingml/2006/main">
                <a:graphicData uri="http://schemas.microsoft.com/office/word/2010/wordprocessingShape">
                  <wps:wsp>
                    <wps:cNvSpPr txBox="1"/>
                    <wps:spPr>
                      <a:xfrm>
                        <a:off x="0" y="0"/>
                        <a:ext cx="155575" cy="1606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25pt;height:12.65pt;mso-wrap-distance-left:0pt;mso-wrap-distance-right:0pt;mso-wrap-distance-top:0pt;mso-wrap-distance-bottom:0pt;margin-top:0.05pt;mso-position-vertical-relative:text;margin-left:419.7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color w:val="0000FF"/>
      </w:rPr>
    </w:pPr>
    <w:r>
      <w:rPr>
        <w:color w:val="0000FF"/>
      </w:rPr>
      <w:t>Risk Management Policy</w:t>
    </w:r>
    <w:r>
      <w:rPr>
        <w:i/>
        <w:iCs/>
        <w:color w:val="FF0000"/>
        <w:sz w:val="18"/>
      </w:rPr>
      <w:tab/>
      <w:tab/>
    </w:r>
    <w:r>
      <w:rPr>
        <w:i/>
        <w:iCs/>
        <w:sz w:val="18"/>
      </w:rPr>
      <w:t>Draft</w:t>
    </w:r>
  </w:p>
  <w:p>
    <w:pPr>
      <w:pStyle w:val="Header"/>
      <w:tabs>
        <w:tab w:val="clear" w:pos="8306"/>
        <w:tab w:val="center" w:pos="4153" w:leader="none"/>
        <w:tab w:val="right" w:pos="8640" w:leader="none"/>
      </w:tabs>
      <w:rPr/>
    </w:pPr>
    <w:r>
      <w:rPr>
        <w:i/>
        <w:iCs/>
        <w:color w:val="FF0000"/>
        <w:sz w:val="18"/>
      </w:rPr>
      <w:t>Proprietary and Confidential</w:t>
      <w:tab/>
      <w:tab/>
    </w:r>
    <w:r>
      <w:rPr>
        <w:i/>
        <w:iCs/>
        <w:sz w:val="18"/>
      </w:rPr>
      <w:t>6/11/2001</w:t>
    </w:r>
  </w:p>
  <w:p>
    <w:pPr>
      <w:pStyle w:val="Header"/>
      <w:rPr/>
    </w:pPr>
    <w:r>
      <w:rPr/>
      <w:tab/>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6/11/2001</w:t>
    </w:r>
  </w:p>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Roman"/>
      <w:lvlText w:val="%1."/>
      <w:lvlJc w:val="end"/>
      <w:pPr>
        <w:tabs>
          <w:tab w:val="num" w:pos="1080"/>
        </w:tabs>
        <w:ind w:start="1080" w:hanging="288"/>
      </w:pPr>
      <w:rPr/>
    </w:lvl>
  </w:abstractNum>
  <w:abstractNum w:abstractNumId="4">
    <w:lvl w:ilvl="0">
      <w:start w:val="1"/>
      <w:numFmt w:val="lowerRoman"/>
      <w:lvlText w:val="%1."/>
      <w:lvlJc w:val="end"/>
      <w:pPr>
        <w:tabs>
          <w:tab w:val="num" w:pos="1008"/>
        </w:tabs>
        <w:ind w:start="1008" w:hanging="288"/>
      </w:pPr>
      <w:rPr/>
    </w:lvl>
  </w:abstractNum>
  <w:abstractNum w:abstractNumId="5">
    <w:lvl w:ilvl="0">
      <w:start w:val="1"/>
      <w:numFmt w:val="lowerRoman"/>
      <w:lvlText w:val="%1."/>
      <w:lvlJc w:val="end"/>
      <w:pPr>
        <w:tabs>
          <w:tab w:val="num" w:pos="936"/>
        </w:tabs>
        <w:ind w:start="936" w:hanging="288"/>
      </w:pPr>
      <w:rPr/>
    </w:lvl>
  </w:abstractNum>
  <w:abstractNum w:abstractNumId="6">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sz w:val="20"/>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GB" w:bidi="ar-SA" w:eastAsia="zh-CN"/>
    </w:rPr>
  </w:style>
  <w:style w:type="paragraph" w:styleId="Heading1">
    <w:name w:val="heading 1"/>
    <w:basedOn w:val="Normal"/>
    <w:next w:val="Index1"/>
    <w:qFormat/>
    <w:pPr>
      <w:keepNext w:val="true"/>
      <w:numPr>
        <w:ilvl w:val="0"/>
        <w:numId w:val="6"/>
      </w:numPr>
      <w:spacing w:before="240" w:after="240"/>
      <w:ind w:hanging="0" w:start="0" w:end="0"/>
      <w:outlineLvl w:val="0"/>
    </w:pPr>
    <w:rPr>
      <w:b/>
      <w:caps/>
      <w:color w:val="000080"/>
      <w:kern w:val="2"/>
      <w:sz w:val="28"/>
    </w:rPr>
  </w:style>
  <w:style w:type="paragraph" w:styleId="Heading2">
    <w:name w:val="heading 2"/>
    <w:basedOn w:val="Normal"/>
    <w:next w:val="Normal"/>
    <w:qFormat/>
    <w:pPr>
      <w:keepNext w:val="true"/>
      <w:numPr>
        <w:ilvl w:val="0"/>
        <w:numId w:val="6"/>
      </w:numPr>
      <w:spacing w:before="360" w:after="120"/>
      <w:ind w:hanging="0" w:start="0" w:end="1800"/>
      <w:outlineLvl w:val="1"/>
    </w:pPr>
    <w:rPr>
      <w:b/>
      <w:color w:val="000080"/>
      <w:sz w:val="24"/>
    </w:rPr>
  </w:style>
  <w:style w:type="paragraph" w:styleId="Heading3">
    <w:name w:val="heading 3"/>
    <w:basedOn w:val="Normal"/>
    <w:next w:val="Normal"/>
    <w:qFormat/>
    <w:pPr>
      <w:keepNext w:val="true"/>
      <w:numPr>
        <w:ilvl w:val="0"/>
        <w:numId w:val="6"/>
      </w:numPr>
      <w:spacing w:before="360" w:after="120"/>
      <w:ind w:hanging="0" w:start="0" w:end="0"/>
      <w:outlineLvl w:val="2"/>
    </w:pPr>
    <w:rPr>
      <w:b/>
      <w:color w:val="000080"/>
      <w:sz w:val="20"/>
    </w:rPr>
  </w:style>
  <w:style w:type="paragraph" w:styleId="Heading4">
    <w:name w:val="heading 4"/>
    <w:basedOn w:val="Normal"/>
    <w:next w:val="Index4"/>
    <w:qFormat/>
    <w:pPr>
      <w:keepNext w:val="true"/>
      <w:numPr>
        <w:ilvl w:val="0"/>
        <w:numId w:val="6"/>
      </w:numPr>
      <w:spacing w:before="240" w:after="120"/>
      <w:outlineLvl w:val="3"/>
    </w:pPr>
    <w:rPr>
      <w:iCs/>
      <w:color w:val="000080"/>
    </w:rPr>
  </w:style>
  <w:style w:type="paragraph" w:styleId="Heading5">
    <w:name w:val="heading 5"/>
    <w:basedOn w:val="Normal"/>
    <w:next w:val="Normal"/>
    <w:qFormat/>
    <w:pPr>
      <w:numPr>
        <w:ilvl w:val="0"/>
        <w:numId w:val="6"/>
      </w:numPr>
      <w:spacing w:before="300" w:after="120"/>
      <w:outlineLvl w:val="4"/>
    </w:pPr>
    <w:rPr>
      <w:color w:val="000080"/>
      <w:sz w:val="20"/>
    </w:rPr>
  </w:style>
  <w:style w:type="paragraph" w:styleId="Heading6">
    <w:name w:val="heading 6"/>
    <w:basedOn w:val="Normal"/>
    <w:next w:val="Normal"/>
    <w:qFormat/>
    <w:pPr>
      <w:numPr>
        <w:ilvl w:val="0"/>
        <w:numId w:val="6"/>
      </w:numPr>
      <w:spacing w:before="240" w:after="60"/>
      <w:outlineLvl w:val="5"/>
    </w:pPr>
    <w:rPr>
      <w:i/>
      <w:sz w:val="22"/>
    </w:rPr>
  </w:style>
  <w:style w:type="paragraph" w:styleId="Heading7">
    <w:name w:val="heading 7"/>
    <w:basedOn w:val="Normal"/>
    <w:next w:val="Normal"/>
    <w:qFormat/>
    <w:pPr>
      <w:numPr>
        <w:ilvl w:val="0"/>
        <w:numId w:val="6"/>
      </w:numPr>
      <w:spacing w:before="240" w:after="60"/>
      <w:outlineLvl w:val="6"/>
    </w:pPr>
    <w:rPr>
      <w:rFonts w:ascii="Arial" w:hAnsi="Arial" w:cs="Arial"/>
    </w:rPr>
  </w:style>
  <w:style w:type="paragraph" w:styleId="Heading8">
    <w:name w:val="heading 8"/>
    <w:basedOn w:val="Normal"/>
    <w:next w:val="Normal"/>
    <w:qFormat/>
    <w:pPr>
      <w:numPr>
        <w:ilvl w:val="0"/>
        <w:numId w:val="6"/>
      </w:numPr>
      <w:spacing w:before="240" w:after="60"/>
      <w:outlineLvl w:val="7"/>
    </w:pPr>
    <w:rPr>
      <w:rFonts w:ascii="Arial" w:hAnsi="Arial" w:cs="Arial"/>
      <w:i/>
    </w:rPr>
  </w:style>
  <w:style w:type="paragraph" w:styleId="Heading9">
    <w:name w:val="heading 9"/>
    <w:basedOn w:val="Normal"/>
    <w:next w:val="Normal"/>
    <w:qFormat/>
    <w:pPr>
      <w:numPr>
        <w:ilvl w:val="0"/>
        <w:numId w:val="6"/>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color w:val="000000"/>
      <w:sz w:val="20"/>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rFonts w:ascii="Wingdings" w:hAnsi="Wingdings" w:cs="Wingdings"/>
      <w:color w:val="000000"/>
      <w:sz w:val="20"/>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8z0">
    <w:name w:val="WW8Num38z0"/>
    <w:qFormat/>
    <w:rPr>
      <w:rFonts w:ascii="Symbol" w:hAnsi="Symbol" w:cs="Symbol"/>
    </w:rPr>
  </w:style>
  <w:style w:type="character" w:styleId="WW8Num38z1">
    <w:name w:val="WW8Num38z1"/>
    <w:qFormat/>
    <w:rPr/>
  </w:style>
  <w:style w:type="character" w:styleId="WW8Num39z0">
    <w:name w:val="WW8Num39z0"/>
    <w:qFormat/>
    <w:rPr/>
  </w:style>
  <w:style w:type="character" w:styleId="WW8Num40z0">
    <w:name w:val="WW8Num40z0"/>
    <w:qFormat/>
    <w:rPr/>
  </w:style>
  <w:style w:type="character" w:styleId="WW8Num40z1">
    <w:name w:val="WW8Num40z1"/>
    <w:qFormat/>
    <w:rPr>
      <w:rFonts w:ascii="Times New Roman" w:hAnsi="Times New Roman" w:eastAsia="Times New Roman" w:cs="Times New Roman"/>
    </w:rPr>
  </w:style>
  <w:style w:type="character" w:styleId="WW8Num41z0">
    <w:name w:val="WW8Num41z0"/>
    <w:qFormat/>
    <w:rPr>
      <w:b w:val="false"/>
    </w:rPr>
  </w:style>
  <w:style w:type="character" w:styleId="WW8Num43z0">
    <w:name w:val="WW8Num43z0"/>
    <w:qFormat/>
    <w:rPr>
      <w:rFonts w:ascii="Wingdings" w:hAnsi="Wingdings" w:cs="Wingdings"/>
      <w:color w:val="000000"/>
      <w:sz w:val="20"/>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color w:val="000000"/>
      <w:sz w:val="20"/>
    </w:rPr>
  </w:style>
  <w:style w:type="character" w:styleId="WW8Num49z0">
    <w:name w:val="WW8Num49z0"/>
    <w:qFormat/>
    <w:rPr/>
  </w:style>
  <w:style w:type="character" w:styleId="WW8Num50z0">
    <w:name w:val="WW8Num50z0"/>
    <w:qFormat/>
    <w:rPr>
      <w:rFonts w:ascii="Wingdings" w:hAnsi="Wingdings" w:cs="Wingdings"/>
      <w:color w:val="000000"/>
      <w:sz w:val="20"/>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color w:val="000000"/>
      <w:sz w:val="20"/>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style>
  <w:style w:type="character" w:styleId="WW8Num70z1">
    <w:name w:val="WW8Num70z1"/>
    <w:qFormat/>
    <w:rPr>
      <w:rFonts w:ascii="Symbol" w:hAnsi="Symbol" w:cs="Symbol"/>
    </w:rPr>
  </w:style>
  <w:style w:type="character" w:styleId="WW8Num70z2">
    <w:name w:val="WW8Num70z2"/>
    <w:qFormat/>
    <w:rPr>
      <w:rFonts w:ascii="Wingdings" w:hAnsi="Wingdings" w:cs="Wingdings"/>
    </w:rPr>
  </w:style>
  <w:style w:type="character" w:styleId="WW8Num70z4">
    <w:name w:val="WW8Num70z4"/>
    <w:qFormat/>
    <w:rPr>
      <w:rFonts w:ascii="Courier New" w:hAnsi="Courier New" w:cs="Courier New"/>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color w:val="000000"/>
      <w:sz w:val="20"/>
    </w:rPr>
  </w:style>
  <w:style w:type="character" w:styleId="WW8Num73z0">
    <w:name w:val="WW8Num73z0"/>
    <w:qFormat/>
    <w:rPr/>
  </w:style>
  <w:style w:type="character" w:styleId="WW8Num74z0">
    <w:name w:val="WW8Num74z0"/>
    <w:qFormat/>
    <w:rPr/>
  </w:style>
  <w:style w:type="character" w:styleId="WW8Num74z3">
    <w:name w:val="WW8Num74z3"/>
    <w:qFormat/>
    <w:rPr>
      <w:sz w:val="20"/>
    </w:rPr>
  </w:style>
  <w:style w:type="character" w:styleId="WW8Num75z0">
    <w:name w:val="WW8Num75z0"/>
    <w:qFormat/>
    <w:rPr/>
  </w:style>
  <w:style w:type="character" w:styleId="WW8Num76z0">
    <w:name w:val="WW8Num76z0"/>
    <w:qFormat/>
    <w:rPr>
      <w:rFonts w:ascii="Wingdings" w:hAnsi="Wingdings" w:cs="Wingdings"/>
      <w:color w:val="000000"/>
      <w:sz w:val="20"/>
    </w:rPr>
  </w:style>
  <w:style w:type="character" w:styleId="WW8Num77z0">
    <w:name w:val="WW8Num77z0"/>
    <w:qFormat/>
    <w:rPr>
      <w:b/>
      <w:color w:val="000080"/>
    </w:rPr>
  </w:style>
  <w:style w:type="character" w:styleId="WW8Num78z0">
    <w:name w:val="WW8Num78z0"/>
    <w:qFormat/>
    <w:rPr>
      <w:rFonts w:ascii="Symbol" w:hAnsi="Symbol" w:cs="Symbol"/>
    </w:rPr>
  </w:style>
  <w:style w:type="character" w:styleId="WW8Num79z0">
    <w:name w:val="WW8Num79z0"/>
    <w:qFormat/>
    <w:rPr>
      <w:rFonts w:ascii="Wingdings" w:hAnsi="Wingdings" w:cs="Wingdings"/>
      <w:color w:val="000000"/>
      <w:sz w:val="2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style>
  <w:style w:type="character" w:styleId="WW8Num82z0">
    <w:name w:val="WW8Num82z0"/>
    <w:qFormat/>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Wingdings" w:hAnsi="Wingdings" w:cs="Wingdings"/>
      <w:color w:val="000000"/>
      <w:sz w:val="20"/>
    </w:rPr>
  </w:style>
  <w:style w:type="character" w:styleId="WW8Num84z0">
    <w:name w:val="WW8Num84z0"/>
    <w:qFormat/>
    <w:rPr/>
  </w:style>
  <w:style w:type="character" w:styleId="WW8Num85z0">
    <w:name w:val="WW8Num85z0"/>
    <w:qFormat/>
    <w:rPr>
      <w:rFonts w:ascii="Wingdings" w:hAnsi="Wingdings" w:cs="Wingdings"/>
      <w:color w:val="000000"/>
      <w:sz w:val="20"/>
    </w:rPr>
  </w:style>
  <w:style w:type="character" w:styleId="WW8Num86z1">
    <w:name w:val="WW8Num86z1"/>
    <w:qFormat/>
    <w:rPr/>
  </w:style>
  <w:style w:type="character" w:styleId="WW8Num87z0">
    <w:name w:val="WW8Num87z0"/>
    <w:qFormat/>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3z1">
    <w:name w:val="WW8Num93z1"/>
    <w:qFormat/>
    <w:rPr>
      <w:color w:val="000080"/>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Heading1"/>
    <w:qFormat/>
    <w:pPr>
      <w:pageBreakBefore w:val="false"/>
      <w:numPr>
        <w:ilvl w:val="0"/>
        <w:numId w:val="6"/>
      </w:numPr>
      <w:spacing w:before="0" w:after="0"/>
      <w:ind w:hanging="0" w:start="0" w:end="0"/>
    </w:pPr>
    <w:rPr>
      <w:b w:val="false"/>
      <w:color w:val="000000"/>
      <w:kern w:val="0"/>
      <w:sz w:val="20"/>
      <w:lang w:val="en-US"/>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BodyTextIndent3">
    <w:name w:val="Body Text Indent 3"/>
    <w:basedOn w:val="Normal"/>
    <w:qFormat/>
    <w:pPr>
      <w:ind w:firstLine="236" w:start="-236" w:end="0"/>
      <w:jc w:val="center"/>
    </w:pPr>
    <w:rPr>
      <w:b/>
      <w:sz w:val="16"/>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pPr/>
    <w:rPr>
      <w:iCs/>
    </w:rPr>
  </w:style>
  <w:style w:type="paragraph" w:styleId="Index2">
    <w:name w:val="index 2"/>
    <w:basedOn w:val="Normal"/>
    <w:next w:val="Normal"/>
    <w:pPr>
      <w:spacing w:before="0" w:after="120"/>
      <w:ind w:hanging="0" w:start="144" w:end="0"/>
    </w:pPr>
    <w:rPr>
      <w:iCs/>
    </w:rPr>
  </w:style>
  <w:style w:type="paragraph" w:styleId="Index3">
    <w:name w:val="index 3"/>
    <w:basedOn w:val="Normal"/>
    <w:pPr>
      <w:numPr>
        <w:ilvl w:val="0"/>
        <w:numId w:val="0"/>
      </w:numPr>
      <w:ind w:hanging="0" w:start="288" w:end="0"/>
    </w:pPr>
    <w:rPr/>
  </w:style>
  <w:style w:type="paragraph" w:styleId="Index4">
    <w:name w:val="Index 4"/>
    <w:basedOn w:val="Normal"/>
    <w:next w:val="Normal"/>
    <w:qFormat/>
    <w:pPr>
      <w:spacing w:before="120" w:after="120"/>
      <w:ind w:hanging="0" w:start="432" w:end="0"/>
    </w:pPr>
    <w:rPr>
      <w:bCs/>
    </w:rPr>
  </w:style>
  <w:style w:type="paragraph" w:styleId="Index5">
    <w:name w:val="Index 5"/>
    <w:basedOn w:val="Normal"/>
    <w:next w:val="Normal"/>
    <w:qFormat/>
    <w:pPr>
      <w:ind w:hanging="0" w:start="576"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numPr>
        <w:ilvl w:val="0"/>
        <w:numId w:val="4"/>
      </w:numPr>
      <w:spacing w:before="0" w:after="120"/>
    </w:pPr>
    <w:rPr/>
  </w:style>
  <w:style w:type="paragraph" w:styleId="IndexHeading">
    <w:name w:val="index heading"/>
    <w:basedOn w:val="Normal"/>
    <w:next w:val="Index1"/>
    <w:pPr>
      <w:spacing w:before="120" w:after="120"/>
    </w:pPr>
    <w:rPr>
      <w:b/>
      <w:i/>
    </w:rPr>
  </w:style>
  <w:style w:type="paragraph" w:styleId="Subtitle">
    <w:name w:val="Subtitle"/>
    <w:basedOn w:val="Normal"/>
    <w:next w:val="BodyText"/>
    <w:qFormat/>
    <w:pPr>
      <w:jc w:val="center"/>
    </w:pPr>
    <w:rPr>
      <w:sz w:val="36"/>
    </w:rPr>
  </w:style>
  <w:style w:type="paragraph" w:styleId="TOC1">
    <w:name w:val="toc 1"/>
    <w:basedOn w:val="Normal"/>
    <w:next w:val="Normal"/>
    <w:pPr>
      <w:tabs>
        <w:tab w:val="clear" w:pos="720"/>
        <w:tab w:val="right" w:pos="9016" w:leader="dot"/>
      </w:tabs>
      <w:spacing w:before="120" w:after="120"/>
    </w:pPr>
    <w:rPr>
      <w:b/>
      <w:caps/>
      <w:lang w:val="en-CA" w:eastAsia="en-CA"/>
    </w:rPr>
  </w:style>
  <w:style w:type="paragraph" w:styleId="TOC2">
    <w:name w:val="toc 2"/>
    <w:basedOn w:val="Normal"/>
    <w:next w:val="Normal"/>
    <w:pPr>
      <w:tabs>
        <w:tab w:val="clear" w:pos="720"/>
        <w:tab w:val="left" w:pos="800" w:leader="none"/>
        <w:tab w:val="right" w:pos="9016" w:leader="dot"/>
      </w:tabs>
      <w:ind w:hanging="0" w:start="202" w:end="0"/>
    </w:pPr>
    <w:rPr>
      <w:smallCaps/>
      <w:sz w:val="24"/>
      <w:lang w:val="en-CA" w:eastAsia="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OCBase">
    <w:name w:val="TOC Base"/>
    <w:basedOn w:val="Normal"/>
    <w:qFormat/>
    <w:pPr>
      <w:tabs>
        <w:tab w:val="clear" w:pos="720"/>
        <w:tab w:val="right" w:pos="6480" w:leader="dot"/>
      </w:tabs>
      <w:spacing w:lineRule="atLeast" w:line="240" w:before="0" w:after="240"/>
      <w:ind w:hanging="0" w:start="2160" w:end="0"/>
      <w:jc w:val="both"/>
    </w:pPr>
    <w:rPr>
      <w:rFonts w:ascii="Tahoma" w:hAnsi="Tahoma" w:cs="Tahoma"/>
      <w:kern w:val="2"/>
      <w:lang w:val="en-US"/>
    </w:rPr>
  </w:style>
  <w:style w:type="paragraph" w:styleId="hd1txt">
    <w:name w:val="hd1txt"/>
    <w:basedOn w:val="Normal"/>
    <w:next w:val="Normal"/>
    <w:qFormat/>
    <w:pPr>
      <w:spacing w:before="0" w:after="240"/>
    </w:pPr>
    <w:rPr>
      <w:rFonts w:ascii="Times New Roman" w:hAnsi="Times New Roman" w:cs="Times New Roman"/>
      <w:sz w:val="24"/>
      <w:lang w:val="en-US"/>
    </w:rPr>
  </w:style>
  <w:style w:type="paragraph" w:styleId="ListBullet">
    <w:name w:val="List Bullet"/>
    <w:basedOn w:val="Normal"/>
    <w:qFormat/>
    <w:pPr>
      <w:numPr>
        <w:ilvl w:val="0"/>
        <w:numId w:val="2"/>
      </w:numPr>
      <w:spacing w:before="0" w:after="120"/>
      <w:ind w:hanging="0" w:start="1080" w:end="0"/>
    </w:pPr>
    <w:rPr>
      <w:rFonts w:ascii="Times New Roman" w:hAnsi="Times New Roman" w:cs="Times New Roman"/>
      <w:lang w:val="en-US"/>
    </w:rPr>
  </w:style>
  <w:style w:type="paragraph" w:styleId="ListBulletEnd">
    <w:name w:val="List Bullet End"/>
    <w:basedOn w:val="ListBullet"/>
    <w:qFormat/>
    <w:pPr>
      <w:numPr>
        <w:ilvl w:val="0"/>
        <w:numId w:val="7"/>
      </w:numPr>
      <w:spacing w:before="0" w:after="240"/>
      <w:ind w:hanging="0" w:start="10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2001-06-11T18:50:00Z</dcterms:created>
  <dc:creator>aromero</dc:creator>
  <dc:description/>
  <dc:language>en-CA</dc:language>
  <cp:lastModifiedBy>cschult</cp:lastModifiedBy>
  <cp:lastPrinted>2001-06-11T17:36:00Z</cp:lastPrinted>
  <dcterms:modified xsi:type="dcterms:W3CDTF">2001-06-11T20:08:00Z</dcterms:modified>
  <cp:revision>5</cp:revision>
  <dc:subject/>
  <dc:title>1</dc:title>
</cp:coreProperties>
</file>