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urier New" w:hAnsi="Courier New" w:cs="Courier New"/>
          <w:b/>
        </w:rPr>
      </w:pPr>
      <w:r>
        <w:rPr>
          <w:rFonts w:cs="Courier New" w:ascii="Courier New" w:hAnsi="Courier New"/>
          <w:b/>
        </w:rPr>
        <w:t>AIR QUALITY BUREAU</w:t>
      </w:r>
    </w:p>
    <w:p>
      <w:pPr>
        <w:pStyle w:val="Normal"/>
        <w:jc w:val="center"/>
        <w:rPr>
          <w:rFonts w:ascii="Courier New" w:hAnsi="Courier New" w:cs="Courier New"/>
          <w:b/>
        </w:rPr>
      </w:pPr>
      <w:r>
        <w:rPr>
          <w:rFonts w:cs="Courier New" w:ascii="Courier New" w:hAnsi="Courier New"/>
          <w:b/>
        </w:rPr>
        <w:t>NEW SOURCE REVIEW PERMIT PROGRAM GUIDANCE</w:t>
      </w:r>
    </w:p>
    <w:p>
      <w:pPr>
        <w:pStyle w:val="Normal"/>
        <w:jc w:val="center"/>
        <w:rPr>
          <w:rFonts w:ascii="Courier New" w:hAnsi="Courier New" w:eastAsia="Courier New" w:cs="Courier New"/>
          <w:b/>
        </w:rPr>
      </w:pPr>
      <w:r>
        <w:rPr>
          <w:rFonts w:eastAsia="Courier New" w:cs="Courier New" w:ascii="Courier New" w:hAnsi="Courier New"/>
          <w:b/>
        </w:rPr>
        <w:t xml:space="preserve"> </w:t>
      </w:r>
    </w:p>
    <w:p>
      <w:pPr>
        <w:pStyle w:val="Normal"/>
        <w:jc w:val="center"/>
        <w:rPr>
          <w:rFonts w:ascii="Courier New" w:hAnsi="Courier New" w:cs="Courier New"/>
        </w:rPr>
      </w:pPr>
      <w:r>
        <w:rPr>
          <w:rFonts w:cs="Courier New" w:ascii="Courier New" w:hAnsi="Courier New"/>
          <w:b/>
        </w:rPr>
        <w:t>REPLACEMENT OF IDENTICAL IC ENGINES AND TURBINES</w:t>
      </w:r>
    </w:p>
    <w:p>
      <w:pPr>
        <w:pStyle w:val="Normal"/>
        <w:jc w:val="both"/>
        <w:rPr>
          <w:rFonts w:ascii="Courier New" w:hAnsi="Courier New" w:cs="Courier New"/>
        </w:rPr>
      </w:pPr>
      <w:r>
        <w:rPr>
          <w:rFonts w:cs="Courier New" w:ascii="Courier New" w:hAnsi="Courier New"/>
        </w:rPr>
      </w:r>
    </w:p>
    <w:p>
      <w:pPr>
        <w:pStyle w:val="Normal"/>
        <w:jc w:val="both"/>
        <w:rPr>
          <w:rFonts w:ascii="Courier New" w:hAnsi="Courier New" w:cs="Courier New"/>
        </w:rPr>
      </w:pPr>
      <w:r>
        <w:rPr>
          <w:rFonts w:cs="Courier New" w:ascii="Courier New" w:hAnsi="Courier New"/>
        </w:rPr>
      </w:r>
    </w:p>
    <w:p>
      <w:pPr>
        <w:pStyle w:val="Normal"/>
        <w:rPr/>
      </w:pPr>
      <w:r>
        <w:rPr>
          <w:rFonts w:cs="Courier New" w:ascii="Courier New" w:hAnsi="Courier New"/>
          <w:b/>
        </w:rPr>
        <w:t>1.0  PROCEDURE NUMBER:</w:t>
      </w:r>
      <w:r>
        <w:rPr>
          <w:rFonts w:cs="Courier New" w:ascii="Courier New" w:hAnsi="Courier New"/>
        </w:rPr>
        <w:t xml:space="preserve">  AQB 02.007-00</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b/>
        </w:rPr>
        <w:t>2.0  VERSION DATE:</w:t>
      </w:r>
      <w:r>
        <w:rPr>
          <w:rFonts w:cs="Courier New" w:ascii="Courier New" w:hAnsi="Courier New"/>
        </w:rPr>
        <w:t xml:space="preserve"> June 15, 1999</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b/>
        </w:rPr>
        <w:t xml:space="preserve">3.0  REGULATORY REFERENCE:  </w:t>
      </w:r>
      <w:r>
        <w:rPr>
          <w:rFonts w:cs="Courier New" w:ascii="Courier New" w:hAnsi="Courier New"/>
        </w:rPr>
        <w:t>20 NMAC 2.72, Subpart II, Section 219.A</w:t>
      </w:r>
    </w:p>
    <w:p>
      <w:pPr>
        <w:pStyle w:val="Normal"/>
        <w:rPr>
          <w:rFonts w:ascii="Courier New" w:hAnsi="Courier New" w:cs="Courier New"/>
        </w:rPr>
      </w:pPr>
      <w:r>
        <w:rPr>
          <w:rFonts w:cs="Courier New" w:ascii="Courier New" w:hAnsi="Courier New"/>
        </w:rPr>
      </w:r>
    </w:p>
    <w:p>
      <w:pPr>
        <w:pStyle w:val="Normal"/>
        <w:jc w:val="both"/>
        <w:rPr/>
      </w:pPr>
      <w:r>
        <w:rPr>
          <w:rFonts w:cs="Courier New" w:ascii="Courier New" w:hAnsi="Courier New"/>
          <w:b/>
        </w:rPr>
        <w:t>4.0  PURPOSE:</w:t>
      </w:r>
      <w:r>
        <w:rPr>
          <w:rFonts w:cs="Courier New" w:ascii="Courier New" w:hAnsi="Courier New"/>
        </w:rPr>
        <w:t xml:space="preserve">  To explain the requirements and restrictions for replacement of identical internal combustion (IC) engines or turbines.</w:t>
      </w:r>
    </w:p>
    <w:p>
      <w:pPr>
        <w:pStyle w:val="Normal"/>
        <w:rPr>
          <w:rFonts w:ascii="Courier New" w:hAnsi="Courier New" w:cs="Courier New"/>
        </w:rPr>
      </w:pPr>
      <w:r>
        <w:rPr>
          <w:rFonts w:cs="Courier New" w:ascii="Courier New" w:hAnsi="Courier New"/>
        </w:rPr>
      </w:r>
    </w:p>
    <w:p>
      <w:pPr>
        <w:pStyle w:val="Normal"/>
        <w:jc w:val="both"/>
        <w:rPr/>
      </w:pPr>
      <w:r>
        <w:rPr>
          <w:rFonts w:cs="Courier New" w:ascii="Courier New" w:hAnsi="Courier New"/>
          <w:b/>
        </w:rPr>
        <w:t>5.0  PROCEDURE:</w:t>
      </w:r>
      <w:r>
        <w:rPr>
          <w:rFonts w:cs="Courier New" w:ascii="Courier New" w:hAnsi="Courier New"/>
        </w:rPr>
        <w:t xml:space="preserve"> While not specifically addressed in 20 NMAC 2.72, the Department does not consider replacement of identical IC engines or turbines to be a permitting action since no part of the applicable permit changes. If some aspect of the permit relating to identification of the emissions unit (such as the serial number) is different for the new unit, then an administrative permit revision is the appropriate mechanism to make the permit change.</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b/>
          <w:smallCaps/>
        </w:rPr>
        <w:t>6.0  REQUIREMENTS FOR REPLACEMENT OF IDENTICAL IC ENGINES OR TURBINES</w:t>
      </w:r>
      <w:r>
        <w:rPr>
          <w:rFonts w:cs="Courier New" w:ascii="Courier New" w:hAnsi="Courier New"/>
          <w:b/>
        </w:rPr>
        <w:t>:</w:t>
      </w:r>
      <w:r>
        <w:rPr>
          <w:rFonts w:cs="Courier New" w:ascii="Courier New" w:hAnsi="Courier New"/>
        </w:rPr>
        <w:t xml:space="preserve">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A. This procedure applies to IC engines and turbines at a facility of any size and subject to any permitting program.</w:t>
      </w:r>
    </w:p>
    <w:p>
      <w:pPr>
        <w:pStyle w:val="Normal"/>
        <w:rPr>
          <w:rFonts w:ascii="Courier New" w:hAnsi="Courier New" w:cs="Courier New"/>
        </w:rPr>
      </w:pPr>
      <w:r>
        <w:rPr>
          <w:rFonts w:cs="Courier New" w:ascii="Courier New" w:hAnsi="Courier New"/>
        </w:rPr>
      </w:r>
    </w:p>
    <w:p>
      <w:pPr>
        <w:pStyle w:val="BodyText"/>
        <w:rPr/>
      </w:pPr>
      <w:r>
        <w:rPr/>
        <w:t>B. The replacement IC engine or turbine must be identical to the original unit, including the following: manufacturer, model number, emissions, operating specifications, and air pollution control equipment.  Normally, the Department will use an administrative permit revision to change serial number, or the name/model of the unit if the manufacturer verifies that the equipment is exactly the same in other respects.</w:t>
      </w:r>
    </w:p>
    <w:p>
      <w:pPr>
        <w:pStyle w:val="Normal"/>
        <w:jc w:val="both"/>
        <w:rPr>
          <w:rFonts w:ascii="Courier New" w:hAnsi="Courier New" w:cs="Courier New"/>
        </w:rPr>
      </w:pPr>
      <w:r>
        <w:rPr>
          <w:rFonts w:cs="Courier New" w:ascii="Courier New" w:hAnsi="Courier New"/>
        </w:rPr>
      </w:r>
    </w:p>
    <w:p>
      <w:pPr>
        <w:pStyle w:val="Normal"/>
        <w:tabs>
          <w:tab w:val="left" w:pos="0" w:leader="none"/>
          <w:tab w:val="righ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t>C. The applicability of NSPS or MACT to the new emission unit does not prevent the replacement, even if the permit does not cite the requirement for the existing unit.  The federal requirement will apply regardless of the permit language.  Either future NSR or Title V permits will incorporate the appropriate language.</w:t>
      </w:r>
    </w:p>
    <w:p>
      <w:pPr>
        <w:pStyle w:val="Normal"/>
        <w:tabs>
          <w:tab w:val="left" w:pos="0" w:leader="none"/>
          <w:tab w:val="righ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sectPr>
          <w:headerReference w:type="default" r:id="rId2"/>
          <w:type w:val="nextPage"/>
          <w:pgSz w:w="12240" w:h="15840"/>
          <w:pgMar w:left="1440" w:right="1440" w:gutter="0" w:header="720" w:top="776" w:footer="0" w:bottom="1080"/>
          <w:pgNumType w:fmt="decimal"/>
          <w:formProt w:val="false"/>
          <w:textDirection w:val="lrTb"/>
          <w:docGrid w:type="default" w:linePitch="360" w:charSpace="0"/>
        </w:sectPr>
      </w:pP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D. The replaced equipment was operated continually over the two (2) years preceding the change, except for periods of routine maintenance or repair.  This requirement ensures that there is no difference between previous actual emissions and post-change potential emissions, precluding any question about PSD applicability.</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720" w:top="776" w:footer="0" w:bottom="108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t xml:space="preserve">E. Any initial compliance test requirements and associated time lines that applied to the replaced unit will apply to the new unit.  Consequently, an initial compliance test may be necessary on the new unit.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r>
    </w:p>
    <w:p>
      <w:pPr>
        <w:pStyle w:val="Normal"/>
        <w:numPr>
          <w:ilvl w:val="0"/>
          <w:numId w:val="1"/>
        </w:numPr>
        <w:tabs>
          <w:tab w:val="clear" w:pos="720"/>
          <w:tab w:val="left" w:pos="0" w:leader="none"/>
        </w:tabs>
        <w:ind w:hanging="0" w:start="0" w:end="0"/>
        <w:jc w:val="both"/>
        <w:rPr>
          <w:rFonts w:ascii="Courier New" w:hAnsi="Courier New" w:cs="Courier New"/>
        </w:rPr>
      </w:pPr>
      <w:r>
        <w:rPr>
          <w:rFonts w:cs="Courier;Courier New" w:ascii="Courier;Courier New" w:hAnsi="Courier;Courier New"/>
          <w:b/>
        </w:rPr>
        <w:t>REPLACEMENT OF UNITS TRIGGERING PSD NETTING:</w:t>
      </w:r>
      <w:r>
        <w:rPr>
          <w:rFonts w:cs="Courier;Courier New" w:ascii="Courier;Courier New" w:hAnsi="Courier;Courier New"/>
        </w:rPr>
        <w:t xml:space="preserve"> </w:t>
      </w:r>
      <w:r>
        <w:rPr>
          <w:rFonts w:cs="Courier New" w:ascii="Courier New" w:hAnsi="Courier New"/>
        </w:rPr>
        <w:t xml:space="preserve">For sources that are major under PSD (as defined by 20 NMAC 2.74 </w:t>
      </w:r>
      <w:r>
        <w:rPr>
          <w:rFonts w:cs="Courier New" w:ascii="Courier New" w:hAnsi="Courier New"/>
          <w:u w:val="single"/>
        </w:rPr>
        <w:t>PSD</w:t>
      </w:r>
      <w:r>
        <w:rPr>
          <w:rFonts w:cs="Courier New" w:ascii="Courier New" w:hAnsi="Courier New"/>
        </w:rPr>
        <w:t>), the emission of each pollutant from the unit being replaced must be less than the “significant” thresholds that trigger PSD netting.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ourier New" w:ascii="Courier New" w:hAnsi="Courier New"/>
          <w:b/>
        </w:rPr>
        <w:t>8.0  REPLACEMENT OF IDENTICAL UNITS NOT PREVIOUSLY PERMITTED:</w:t>
      </w:r>
      <w:r>
        <w:rPr>
          <w:rFonts w:cs="Courier New" w:ascii="Courier New" w:hAnsi="Courier New"/>
        </w:rPr>
        <w:t xml:space="preserve">  A non-permitted IC engine or turbine in existence before August 31, 1972 is not eligible for limited replacement.  In this case new units are subject to all applicable permitting requirements of 20 NMAC 2.72.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t>____________________________                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ourier New" w:hAnsi="Courier New" w:cs="Courier New"/>
        </w:rPr>
      </w:pPr>
      <w:r>
        <w:rPr>
          <w:rFonts w:eastAsia="Courier New" w:cs="Courier New" w:ascii="Courier New" w:hAnsi="Courier New"/>
        </w:rPr>
        <w:t xml:space="preserve">   </w:t>
      </w:r>
      <w:r>
        <w:rPr>
          <w:rFonts w:cs="Courier New" w:ascii="Courier New" w:hAnsi="Courier New"/>
        </w:rPr>
        <w:t>Bureau Chief</w:t>
        <w:tab/>
        <w:tab/>
        <w:tab/>
        <w:tab/>
        <w:tab/>
        <w:t>Effective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0" w:end="0"/>
        <w:rPr>
          <w:rFonts w:ascii="Courier New" w:hAnsi="Courier New" w:cs="Courier New"/>
          <w:vertAlign w:val="subscript"/>
        </w:rPr>
      </w:pPr>
      <w:r>
        <w:rPr>
          <w:rFonts w:cs="Courier New" w:ascii="Courier New" w:hAnsi="Courier New"/>
          <w:vertAlign w:val="subscript"/>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0" w:end="0"/>
        <w:rPr>
          <w:rFonts w:ascii="Courier New" w:hAnsi="Courier New" w:cs="Courier New"/>
          <w:vertAlign w:val="subscript"/>
        </w:rPr>
      </w:pPr>
      <w:r>
        <w:rPr>
          <w:rFonts w:cs="Courier New" w:ascii="Courier New" w:hAnsi="Courier New"/>
          <w:vertAlign w:val="subscript"/>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0" w:end="0"/>
        <w:rPr>
          <w:rFonts w:ascii="Courier New" w:hAnsi="Courier New" w:cs="Courier New"/>
        </w:rPr>
      </w:pPr>
      <w:r>
        <w:rPr>
          <w:rFonts w:cs="Courier New" w:ascii="Courier New" w:hAnsi="Courier New"/>
          <w:sz w:val="16"/>
        </w:rPr>
        <w:t>AQB228-01.doc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ourier New" w:hAnsi="Courier New" w:cs="Courier New"/>
        </w:rPr>
      </w:pPr>
      <w:r>
        <w:rPr>
          <w:rFonts w:cs="Courier New" w:ascii="Courier New" w:hAnsi="Courier New"/>
        </w:rPr>
      </w:r>
    </w:p>
    <w:sectPr>
      <w:type w:val="continuous"/>
      <w:pgSz w:w="12240" w:h="15840"/>
      <w:pgMar w:left="1440" w:right="1440" w:gutter="0" w:header="720" w:top="776" w:footer="0"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left" w:pos="9360" w:leader="none"/>
      </w:tabs>
      <w:rPr>
        <w:sz w:val="20"/>
      </w:rPr>
    </w:pPr>
    <w:r>
      <w:rPr>
        <w:sz w:val="20"/>
      </w:rPr>
      <w:t>AQB Guidance</w:t>
    </w:r>
  </w:p>
  <w:p>
    <w:pPr>
      <w:pStyle w:val="Normal"/>
      <w:tabs>
        <w:tab w:val="clear" w:pos="720"/>
        <w:tab w:val="left" w:pos="0" w:leader="none"/>
        <w:tab w:val="center" w:pos="4320" w:leader="none"/>
        <w:tab w:val="right" w:pos="8640" w:leader="none"/>
        <w:tab w:val="left" w:pos="9360" w:leader="none"/>
      </w:tabs>
      <w:rPr>
        <w:sz w:val="20"/>
      </w:rPr>
    </w:pPr>
    <w:r>
      <w:rPr>
        <w:sz w:val="20"/>
      </w:rPr>
      <w:t>AQB02.28-01/March 3,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decimal"/>
      <w:lvlText w:val="%1.0"/>
      <w:lvlJc w:val="start"/>
      <w:pPr>
        <w:tabs>
          <w:tab w:val="num" w:pos="720"/>
        </w:tabs>
        <w:ind w:start="720" w:hanging="720"/>
      </w:pPr>
      <w:rPr>
        <w:b/>
        <w:rFonts w:ascii="Courier;Courier New" w:hAnsi="Courier;Courier New" w:cs="Courier;Courier New"/>
      </w:rPr>
    </w:lvl>
    <w:lvl w:ilvl="1">
      <w:start w:val="1"/>
      <w:numFmt w:val="decimal"/>
      <w:lvlText w:val="%1.%2"/>
      <w:lvlJc w:val="start"/>
      <w:pPr>
        <w:tabs>
          <w:tab w:val="num" w:pos="1440"/>
        </w:tabs>
        <w:ind w:start="1440" w:hanging="720"/>
      </w:pPr>
      <w:rPr>
        <w:b/>
        <w:rFonts w:ascii="Courier;Courier New" w:hAnsi="Courier;Courier New" w:cs="Courier;Courier New"/>
      </w:rPr>
    </w:lvl>
    <w:lvl w:ilvl="2">
      <w:start w:val="1"/>
      <w:numFmt w:val="decimal"/>
      <w:lvlText w:val="%1.%2.%3"/>
      <w:lvlJc w:val="start"/>
      <w:pPr>
        <w:tabs>
          <w:tab w:val="num" w:pos="2160"/>
        </w:tabs>
        <w:ind w:start="2160" w:hanging="720"/>
      </w:pPr>
      <w:rPr>
        <w:b/>
        <w:rFonts w:ascii="Courier;Courier New" w:hAnsi="Courier;Courier New" w:cs="Courier;Courier New"/>
      </w:rPr>
    </w:lvl>
    <w:lvl w:ilvl="3">
      <w:start w:val="1"/>
      <w:numFmt w:val="decimal"/>
      <w:lvlText w:val="%1.%2.%3.%4"/>
      <w:lvlJc w:val="start"/>
      <w:pPr>
        <w:tabs>
          <w:tab w:val="num" w:pos="3240"/>
        </w:tabs>
        <w:ind w:start="3240" w:hanging="1080"/>
      </w:pPr>
      <w:rPr>
        <w:b/>
        <w:rFonts w:ascii="Courier;Courier New" w:hAnsi="Courier;Courier New" w:cs="Courier;Courier New"/>
      </w:rPr>
    </w:lvl>
    <w:lvl w:ilvl="4">
      <w:start w:val="1"/>
      <w:numFmt w:val="decimal"/>
      <w:lvlText w:val="%1.%2.%3.%4.%5"/>
      <w:lvlJc w:val="start"/>
      <w:pPr>
        <w:tabs>
          <w:tab w:val="num" w:pos="4320"/>
        </w:tabs>
        <w:ind w:start="4320" w:hanging="1440"/>
      </w:pPr>
      <w:rPr>
        <w:b/>
        <w:rFonts w:ascii="Courier;Courier New" w:hAnsi="Courier;Courier New" w:cs="Courier;Courier New"/>
      </w:rPr>
    </w:lvl>
    <w:lvl w:ilvl="5">
      <w:start w:val="1"/>
      <w:numFmt w:val="decimal"/>
      <w:lvlText w:val="%1.%2.%3.%4.%5.%6"/>
      <w:lvlJc w:val="start"/>
      <w:pPr>
        <w:tabs>
          <w:tab w:val="num" w:pos="5400"/>
        </w:tabs>
        <w:ind w:start="5400" w:hanging="1800"/>
      </w:pPr>
      <w:rPr>
        <w:b/>
        <w:rFonts w:ascii="Courier;Courier New" w:hAnsi="Courier;Courier New" w:cs="Courier;Courier New"/>
      </w:rPr>
    </w:lvl>
    <w:lvl w:ilvl="6">
      <w:start w:val="1"/>
      <w:numFmt w:val="decimal"/>
      <w:lvlText w:val="%1.%2.%3.%4.%5.%6.%7"/>
      <w:lvlJc w:val="start"/>
      <w:pPr>
        <w:tabs>
          <w:tab w:val="num" w:pos="6480"/>
        </w:tabs>
        <w:ind w:start="6480" w:hanging="2160"/>
      </w:pPr>
      <w:rPr>
        <w:b/>
        <w:rFonts w:ascii="Courier;Courier New" w:hAnsi="Courier;Courier New" w:cs="Courier;Courier New"/>
      </w:rPr>
    </w:lvl>
    <w:lvl w:ilvl="7">
      <w:start w:val="1"/>
      <w:numFmt w:val="decimal"/>
      <w:lvlText w:val="%1.%2.%3.%4.%5.%6.%7.%8"/>
      <w:lvlJc w:val="start"/>
      <w:pPr>
        <w:tabs>
          <w:tab w:val="num" w:pos="7200"/>
        </w:tabs>
        <w:ind w:start="7200" w:hanging="2160"/>
      </w:pPr>
      <w:rPr>
        <w:b/>
        <w:rFonts w:ascii="Courier;Courier New" w:hAnsi="Courier;Courier New" w:cs="Courier;Courier New"/>
      </w:rPr>
    </w:lvl>
    <w:lvl w:ilvl="8">
      <w:start w:val="1"/>
      <w:numFmt w:val="decimal"/>
      <w:lvlText w:val="%1.%2.%3.%4.%5.%6.%7.%8.%9"/>
      <w:lvlJc w:val="start"/>
      <w:pPr>
        <w:tabs>
          <w:tab w:val="num" w:pos="8280"/>
        </w:tabs>
        <w:ind w:start="8280" w:hanging="2520"/>
      </w:pPr>
      <w:rPr>
        <w:b/>
        <w:rFonts w:ascii="Courier;Courier New" w:hAnsi="Courier;Courier New" w:cs="Courier;Courier New"/>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Courier;Courier New" w:hAnsi="Courier;Courier New" w:cs="Courier;Courier New"/>
      <w:b/>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ourier New" w:hAnsi="Courier New" w:cs="Courier Ne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2001-08-30T11:07:00Z</dcterms:created>
  <dc:creator>George Llewellyn</dc:creator>
  <dc:description/>
  <dc:language>en-CA</dc:language>
  <cp:lastModifiedBy>mphilli</cp:lastModifiedBy>
  <cp:lastPrinted>1999-06-11T11:16:00Z</cp:lastPrinted>
  <dcterms:modified xsi:type="dcterms:W3CDTF">2001-08-30T11:07:00Z</dcterms:modified>
  <cp:revision>2</cp:revision>
  <dc:subject/>
  <dc:title>AIR QUALITY BUREAU</dc:title>
</cp:coreProperties>
</file>