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520" w:type="dxa"/>
        <w:jc w:val="start"/>
        <w:tblInd w:w="-15" w:type="dxa"/>
        <w:tblLayout w:type="fixed"/>
        <w:tblCellMar>
          <w:top w:w="75" w:type="dxa"/>
          <w:start w:w="75" w:type="dxa"/>
          <w:bottom w:w="75" w:type="dxa"/>
          <w:end w:w="75" w:type="dxa"/>
        </w:tblCellMar>
      </w:tblPr>
      <w:tblGrid>
        <w:gridCol w:w="4262"/>
        <w:gridCol w:w="7258"/>
      </w:tblGrid>
      <w:tr>
        <w:trPr/>
        <w:tc>
          <w:tcPr>
            <w:tcW w:w="4262" w:type="dxa"/>
            <w:tcBorders/>
            <w:vAlign w:val="center"/>
          </w:tcPr>
          <w:p>
            <w:pPr>
              <w:pStyle w:val="NormalWeb"/>
              <w:spacing w:before="100" w:after="100"/>
              <w:rPr>
                <w:rFonts w:ascii="Arial" w:hAnsi="Arial" w:cs="Arial"/>
                <w:color w:val="000000"/>
                <w:sz w:val="21"/>
                <w:szCs w:val="21"/>
              </w:rPr>
            </w:pPr>
            <w:r>
              <w:rPr>
                <w:rFonts w:cs="Arial" w:ascii="Arial" w:hAnsi="Arial"/>
                <w:b/>
                <w:bCs/>
                <w:color w:val="000000"/>
                <w:sz w:val="21"/>
                <w:szCs w:val="21"/>
              </w:rPr>
              <w:t>Board of Governors</w:t>
            </w:r>
          </w:p>
        </w:tc>
        <w:tc>
          <w:tcPr>
            <w:tcW w:w="7258" w:type="dxa"/>
            <w:tcBorders/>
            <w:vAlign w:val="center"/>
          </w:tcPr>
          <w:p>
            <w:pPr>
              <w:pStyle w:val="NormalWeb"/>
              <w:spacing w:before="100" w:after="100"/>
              <w:rPr>
                <w:rFonts w:ascii="Arial" w:hAnsi="Arial" w:cs="Arial"/>
                <w:color w:val="000000"/>
                <w:sz w:val="21"/>
                <w:szCs w:val="21"/>
              </w:rPr>
            </w:pPr>
            <w:r>
              <w:rPr>
                <w:rFonts w:cs="Arial" w:ascii="Arial" w:hAnsi="Arial"/>
                <w:b/>
                <w:bCs/>
                <w:color w:val="000000"/>
                <w:sz w:val="21"/>
                <w:szCs w:val="21"/>
              </w:rPr>
              <w:t>Load Differentiated Price Caps</w:t>
            </w:r>
          </w:p>
        </w:tc>
      </w:tr>
    </w:tbl>
    <w:p>
      <w:pPr>
        <w:pStyle w:val="NormalWeb"/>
        <w:rPr/>
      </w:pPr>
      <w:r>
        <w:rPr>
          <w:rFonts w:cs="Arial" w:ascii="Arial" w:hAnsi="Arial"/>
          <w:b/>
          <w:bCs/>
          <w:color w:val="000000"/>
          <w:sz w:val="21"/>
          <w:szCs w:val="21"/>
        </w:rPr>
        <w:t>In response to price performance inconsistent with a workably competitive market, the ISO shall implement load differentiated prices caps effective November 3, 2000</w:t>
      </w:r>
      <w:r>
        <w:rPr>
          <w:rFonts w:cs="Arial" w:ascii="Arial" w:hAnsi="Arial"/>
          <w:b/>
          <w:bCs/>
          <w:color w:val="FF0000"/>
          <w:sz w:val="21"/>
          <w:szCs w:val="21"/>
        </w:rPr>
        <w:t>, or as soon thereafter as can be implemented</w:t>
      </w:r>
      <w:r>
        <w:rPr>
          <w:rFonts w:cs="Arial" w:ascii="Arial" w:hAnsi="Arial"/>
          <w:b/>
          <w:bCs/>
          <w:color w:val="000000"/>
          <w:sz w:val="21"/>
          <w:szCs w:val="21"/>
        </w:rPr>
        <w:t xml:space="preserve">. </w:t>
      </w:r>
    </w:p>
    <w:p>
      <w:pPr>
        <w:pStyle w:val="NormalWeb"/>
        <w:rPr>
          <w:rFonts w:ascii="Arial" w:hAnsi="Arial" w:cs="Arial"/>
          <w:b/>
          <w:bCs/>
          <w:color w:val="000000"/>
          <w:sz w:val="21"/>
          <w:szCs w:val="21"/>
        </w:rPr>
      </w:pPr>
      <w:r>
        <w:rPr>
          <w:rFonts w:cs="Arial" w:ascii="Arial" w:hAnsi="Arial"/>
          <w:b/>
          <w:bCs/>
          <w:color w:val="000000"/>
          <w:sz w:val="21"/>
          <w:szCs w:val="21"/>
        </w:rPr>
        <w:t>Such load-differentiated caps will remain in place until:</w:t>
      </w:r>
    </w:p>
    <w:p>
      <w:pPr>
        <w:pStyle w:val="Normal"/>
        <w:numPr>
          <w:ilvl w:val="0"/>
          <w:numId w:val="1"/>
        </w:numPr>
        <w:spacing w:before="100" w:after="100"/>
        <w:rPr>
          <w:rFonts w:ascii="Arial" w:hAnsi="Arial" w:cs="Arial"/>
          <w:b/>
          <w:bCs/>
          <w:color w:val="000000"/>
          <w:sz w:val="21"/>
          <w:szCs w:val="21"/>
        </w:rPr>
      </w:pPr>
      <w:r>
        <w:rPr>
          <w:rFonts w:cs="Arial" w:ascii="Arial" w:hAnsi="Arial"/>
          <w:b/>
          <w:bCs/>
          <w:color w:val="000000"/>
          <w:sz w:val="21"/>
          <w:szCs w:val="21"/>
        </w:rPr>
        <w:t xml:space="preserve">Comprehensive market changes have been implemented and the real-time and ancillary services markets have demonstrated, under a variety of load conditions (including high load conditions) that they are workably competitive, or </w:t>
      </w:r>
    </w:p>
    <w:p>
      <w:pPr>
        <w:pStyle w:val="Normal"/>
        <w:numPr>
          <w:ilvl w:val="0"/>
          <w:numId w:val="1"/>
        </w:numPr>
        <w:spacing w:before="100" w:after="100"/>
        <w:rPr>
          <w:rFonts w:ascii="Arial" w:hAnsi="Arial" w:cs="Arial"/>
          <w:b/>
          <w:bCs/>
          <w:color w:val="000000"/>
          <w:sz w:val="21"/>
          <w:szCs w:val="21"/>
        </w:rPr>
      </w:pPr>
      <w:r>
        <w:rPr>
          <w:rFonts w:cs="Arial" w:ascii="Arial" w:hAnsi="Arial"/>
          <w:b/>
          <w:bCs/>
          <w:color w:val="000000"/>
          <w:sz w:val="21"/>
          <w:szCs w:val="21"/>
        </w:rPr>
        <w:t>Either FERC or the ISO Board orders their removal.</w:t>
      </w:r>
    </w:p>
    <w:p>
      <w:pPr>
        <w:pStyle w:val="NormalWeb"/>
        <w:spacing w:before="0" w:after="0"/>
        <w:rPr>
          <w:rFonts w:ascii="Arial" w:hAnsi="Arial" w:cs="Arial"/>
          <w:b/>
          <w:bCs/>
          <w:color w:val="000000"/>
          <w:sz w:val="21"/>
          <w:szCs w:val="21"/>
        </w:rPr>
      </w:pPr>
      <w:r>
        <w:rPr>
          <w:rFonts w:cs="Arial" w:ascii="Arial" w:hAnsi="Arial"/>
          <w:b/>
          <w:bCs/>
          <w:color w:val="000000"/>
          <w:sz w:val="21"/>
          <w:szCs w:val="21"/>
        </w:rPr>
        <w:t xml:space="preserve">Caps will be calculated according to the attached schedule on a monthly basis. Caps will be rounded up to the nearest $5 increment. Caps will be posted to the public at least 48 hours prior to the beginning of a calendar month, and will remain in place without adjustment for the subsequent calendar month. For the purpose of calculating the caps, the cost of natural gas will be deemed to be the average closing price of NYMEX natural gas futures contracts for Henry Hub during the last three trading days of the NYMEX contract. </w:t>
      </w:r>
    </w:p>
    <w:p>
      <w:pPr>
        <w:pStyle w:val="NormalWeb"/>
        <w:spacing w:before="0" w:after="0"/>
        <w:rPr>
          <w:rFonts w:ascii="Arial" w:hAnsi="Arial" w:cs="Arial"/>
          <w:b/>
          <w:bCs/>
          <w:color w:val="000000"/>
          <w:sz w:val="21"/>
          <w:szCs w:val="21"/>
        </w:rPr>
      </w:pPr>
      <w:r>
        <w:rPr>
          <w:rFonts w:cs="Arial" w:ascii="Arial" w:hAnsi="Arial"/>
          <w:b/>
          <w:bCs/>
          <w:color w:val="000000"/>
          <w:sz w:val="21"/>
          <w:szCs w:val="21"/>
        </w:rPr>
        <w:t>Based on the ISO’s two day-ahead system load forecast, the ISO will post hourly caps at least 24 hours prior to the hour of delivery. These values establish the maximum energy and ancillary service capacity cap. The minimum bid for energy and ancillary service capacity will be fixed at negative $100/MWh.</w:t>
      </w:r>
    </w:p>
    <w:p>
      <w:pPr>
        <w:pStyle w:val="NormalWeb"/>
        <w:spacing w:before="0" w:after="0"/>
        <w:rPr>
          <w:rFonts w:ascii="Arial Narrow" w:hAnsi="Arial Narrow" w:cs="Arial"/>
          <w:b/>
          <w:bCs/>
          <w:color w:val="FF0000"/>
          <w:sz w:val="27"/>
          <w:szCs w:val="27"/>
        </w:rPr>
      </w:pPr>
      <w:r>
        <w:rPr>
          <w:rFonts w:cs="Arial" w:ascii="Arial Narrow" w:hAnsi="Arial Narrow"/>
          <w:b/>
          <w:bCs/>
          <w:color w:val="FF0000"/>
          <w:sz w:val="27"/>
          <w:szCs w:val="27"/>
        </w:rPr>
        <w:t>Nothing in this resolution shall change existing authority to make out-of-market purchases.</w:t>
      </w:r>
    </w:p>
    <w:p>
      <w:pPr>
        <w:pStyle w:val="NormalWeb"/>
        <w:spacing w:before="0" w:after="0"/>
        <w:rPr>
          <w:rFonts w:ascii="Arial Narrow" w:hAnsi="Arial Narrow" w:cs="Arial"/>
          <w:b/>
          <w:bCs/>
          <w:color w:val="FF0000"/>
          <w:sz w:val="27"/>
          <w:szCs w:val="27"/>
        </w:rPr>
      </w:pPr>
      <w:r>
        <w:rPr>
          <w:rFonts w:cs="Arial" w:ascii="Arial Narrow" w:hAnsi="Arial Narrow"/>
          <w:b/>
          <w:bCs/>
          <w:color w:val="FF0000"/>
          <w:sz w:val="27"/>
          <w:szCs w:val="27"/>
        </w:rPr>
        <w:t>The load-differentiated price caps shall not apply to demand bids or demand responsiveness programs.</w:t>
      </w:r>
    </w:p>
    <w:p>
      <w:pPr>
        <w:pStyle w:val="NormalWeb"/>
        <w:spacing w:before="0" w:after="0"/>
        <w:rPr>
          <w:rFonts w:ascii="Arial" w:hAnsi="Arial" w:cs="Arial"/>
          <w:color w:val="000000"/>
          <w:sz w:val="36"/>
          <w:szCs w:val="36"/>
        </w:rPr>
      </w:pPr>
      <w:r>
        <w:rPr>
          <w:rFonts w:cs="Arial" w:ascii="Arial" w:hAnsi="Arial"/>
          <w:color w:val="000000"/>
          <w:sz w:val="36"/>
          <w:szCs w:val="36"/>
        </w:rPr>
        <w:t xml:space="preserve">Proposed Matrix of Heat Rates Used to </w:t>
      </w:r>
    </w:p>
    <w:p>
      <w:pPr>
        <w:pStyle w:val="NormalWeb"/>
        <w:spacing w:before="0" w:after="0"/>
        <w:rPr>
          <w:rFonts w:ascii="Arial" w:hAnsi="Arial" w:cs="Arial"/>
          <w:color w:val="000000"/>
          <w:sz w:val="36"/>
          <w:szCs w:val="36"/>
          <w:u w:val="single"/>
        </w:rPr>
      </w:pPr>
      <w:r>
        <w:rPr>
          <w:rFonts w:cs="Arial" w:ascii="Arial" w:hAnsi="Arial"/>
          <w:color w:val="000000"/>
          <w:sz w:val="36"/>
          <w:szCs w:val="36"/>
          <w:u w:val="single"/>
        </w:rPr>
        <w:t>Calculate Load Differentiated Price Caps</w:t>
      </w:r>
    </w:p>
    <w:p>
      <w:pPr>
        <w:pStyle w:val="NormalWeb"/>
        <w:spacing w:before="0" w:after="0"/>
        <w:rPr/>
      </w:pPr>
      <w:r>
        <w:rPr/>
        <w:t> </w:t>
      </w:r>
    </w:p>
    <w:tbl>
      <w:tblPr>
        <w:tblW w:w="5850" w:type="dxa"/>
        <w:jc w:val="start"/>
        <w:tblInd w:w="-29" w:type="dxa"/>
        <w:tblLayout w:type="fixed"/>
        <w:tblCellMar>
          <w:top w:w="30" w:type="dxa"/>
          <w:start w:w="30" w:type="dxa"/>
          <w:bottom w:w="30" w:type="dxa"/>
          <w:end w:w="30" w:type="dxa"/>
        </w:tblCellMar>
      </w:tblPr>
      <w:tblGrid>
        <w:gridCol w:w="3332"/>
        <w:gridCol w:w="2518"/>
      </w:tblGrid>
      <w:tr>
        <w:trPr>
          <w:trHeight w:val="1410" w:hRule="atLeast"/>
        </w:trPr>
        <w:tc>
          <w:tcPr>
            <w:tcW w:w="333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jc w:val="center"/>
              <w:rPr>
                <w:rFonts w:ascii="Arial" w:hAnsi="Arial" w:cs="Arial"/>
                <w:color w:val="000000"/>
                <w:sz w:val="21"/>
                <w:szCs w:val="21"/>
              </w:rPr>
            </w:pPr>
            <w:r>
              <w:rPr>
                <w:rFonts w:cs="Arial" w:ascii="Arial" w:hAnsi="Arial"/>
                <w:b/>
                <w:bCs/>
                <w:color w:val="000000"/>
                <w:sz w:val="36"/>
                <w:szCs w:val="36"/>
              </w:rPr>
              <w:t>ISO Two Day-ahead Forecasted Load Level (MW)</w:t>
            </w:r>
          </w:p>
        </w:tc>
        <w:tc>
          <w:tcPr>
            <w:tcW w:w="25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jc w:val="center"/>
              <w:rPr>
                <w:rFonts w:ascii="Arial" w:hAnsi="Arial" w:cs="Arial"/>
                <w:color w:val="000000"/>
                <w:sz w:val="21"/>
                <w:szCs w:val="21"/>
              </w:rPr>
            </w:pPr>
            <w:r>
              <w:rPr>
                <w:rFonts w:cs="Arial" w:ascii="Arial" w:hAnsi="Arial"/>
                <w:b/>
                <w:bCs/>
                <w:color w:val="000000"/>
                <w:sz w:val="36"/>
                <w:szCs w:val="36"/>
              </w:rPr>
              <w:t>Heat Rate for Cap Calculation</w:t>
            </w:r>
          </w:p>
        </w:tc>
      </w:tr>
      <w:tr>
        <w:trPr>
          <w:trHeight w:val="435" w:hRule="atLeast"/>
        </w:trPr>
        <w:tc>
          <w:tcPr>
            <w:tcW w:w="333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rPr>
                <w:rFonts w:ascii="Arial" w:hAnsi="Arial" w:cs="Arial"/>
                <w:color w:val="000000"/>
                <w:sz w:val="21"/>
                <w:szCs w:val="21"/>
              </w:rPr>
            </w:pPr>
            <w:r>
              <w:rPr>
                <w:rFonts w:cs="Arial" w:ascii="Arial" w:hAnsi="Arial"/>
                <w:color w:val="000000"/>
                <w:sz w:val="36"/>
                <w:szCs w:val="36"/>
              </w:rPr>
              <w:t>&lt;25,000</w:t>
            </w:r>
          </w:p>
        </w:tc>
        <w:tc>
          <w:tcPr>
            <w:tcW w:w="25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jc w:val="end"/>
              <w:rPr>
                <w:rFonts w:ascii="Arial" w:hAnsi="Arial" w:cs="Arial"/>
                <w:color w:val="000000"/>
                <w:sz w:val="21"/>
                <w:szCs w:val="21"/>
              </w:rPr>
            </w:pPr>
            <w:r>
              <w:rPr>
                <w:rFonts w:cs="Arial" w:ascii="Arial" w:hAnsi="Arial"/>
                <w:color w:val="000000"/>
                <w:sz w:val="36"/>
                <w:szCs w:val="36"/>
              </w:rPr>
              <w:t xml:space="preserve">10,775 </w:t>
            </w:r>
          </w:p>
        </w:tc>
      </w:tr>
      <w:tr>
        <w:trPr>
          <w:trHeight w:val="435" w:hRule="atLeast"/>
        </w:trPr>
        <w:tc>
          <w:tcPr>
            <w:tcW w:w="333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rPr>
                <w:rFonts w:ascii="Arial" w:hAnsi="Arial" w:cs="Arial"/>
                <w:color w:val="000000"/>
                <w:sz w:val="21"/>
                <w:szCs w:val="21"/>
              </w:rPr>
            </w:pPr>
            <w:r>
              <w:rPr>
                <w:rFonts w:cs="Arial" w:ascii="Arial" w:hAnsi="Arial"/>
                <w:color w:val="000000"/>
                <w:sz w:val="36"/>
                <w:szCs w:val="36"/>
              </w:rPr>
              <w:t>25001-30000</w:t>
            </w:r>
          </w:p>
        </w:tc>
        <w:tc>
          <w:tcPr>
            <w:tcW w:w="25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jc w:val="end"/>
              <w:rPr>
                <w:rFonts w:ascii="Arial" w:hAnsi="Arial" w:cs="Arial"/>
                <w:color w:val="000000"/>
                <w:sz w:val="21"/>
                <w:szCs w:val="21"/>
              </w:rPr>
            </w:pPr>
            <w:r>
              <w:rPr>
                <w:rFonts w:cs="Arial" w:ascii="Arial" w:hAnsi="Arial"/>
                <w:color w:val="000000"/>
                <w:sz w:val="36"/>
                <w:szCs w:val="36"/>
              </w:rPr>
              <w:t xml:space="preserve">14,175 </w:t>
            </w:r>
          </w:p>
        </w:tc>
      </w:tr>
      <w:tr>
        <w:trPr>
          <w:trHeight w:val="435" w:hRule="atLeast"/>
        </w:trPr>
        <w:tc>
          <w:tcPr>
            <w:tcW w:w="333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rPr>
                <w:rFonts w:ascii="Arial" w:hAnsi="Arial" w:cs="Arial"/>
                <w:color w:val="000000"/>
                <w:sz w:val="21"/>
                <w:szCs w:val="21"/>
              </w:rPr>
            </w:pPr>
            <w:r>
              <w:rPr>
                <w:rFonts w:cs="Arial" w:ascii="Arial" w:hAnsi="Arial"/>
                <w:color w:val="000000"/>
                <w:sz w:val="36"/>
                <w:szCs w:val="36"/>
              </w:rPr>
              <w:t>30001-35000</w:t>
            </w:r>
          </w:p>
        </w:tc>
        <w:tc>
          <w:tcPr>
            <w:tcW w:w="25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jc w:val="end"/>
              <w:rPr>
                <w:rFonts w:ascii="Arial" w:hAnsi="Arial" w:cs="Arial"/>
                <w:color w:val="000000"/>
                <w:sz w:val="21"/>
                <w:szCs w:val="21"/>
              </w:rPr>
            </w:pPr>
            <w:r>
              <w:rPr>
                <w:rFonts w:cs="Arial" w:ascii="Arial" w:hAnsi="Arial"/>
                <w:color w:val="000000"/>
                <w:sz w:val="36"/>
                <w:szCs w:val="36"/>
              </w:rPr>
              <w:t xml:space="preserve">17,225 </w:t>
            </w:r>
          </w:p>
        </w:tc>
      </w:tr>
      <w:tr>
        <w:trPr>
          <w:trHeight w:val="435" w:hRule="atLeast"/>
        </w:trPr>
        <w:tc>
          <w:tcPr>
            <w:tcW w:w="333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rPr>
                <w:rFonts w:ascii="Arial" w:hAnsi="Arial" w:cs="Arial"/>
                <w:color w:val="000000"/>
                <w:sz w:val="21"/>
                <w:szCs w:val="21"/>
              </w:rPr>
            </w:pPr>
            <w:r>
              <w:rPr>
                <w:rFonts w:cs="Arial" w:ascii="Arial" w:hAnsi="Arial"/>
                <w:color w:val="000000"/>
                <w:sz w:val="36"/>
                <w:szCs w:val="36"/>
              </w:rPr>
              <w:t>35001-40000</w:t>
            </w:r>
          </w:p>
        </w:tc>
        <w:tc>
          <w:tcPr>
            <w:tcW w:w="25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jc w:val="end"/>
              <w:rPr>
                <w:rFonts w:ascii="Arial" w:hAnsi="Arial" w:cs="Arial"/>
                <w:color w:val="000000"/>
                <w:sz w:val="21"/>
                <w:szCs w:val="21"/>
              </w:rPr>
            </w:pPr>
            <w:r>
              <w:rPr>
                <w:rFonts w:cs="Arial" w:ascii="Arial" w:hAnsi="Arial"/>
                <w:color w:val="000000"/>
                <w:sz w:val="36"/>
                <w:szCs w:val="36"/>
              </w:rPr>
              <w:t xml:space="preserve">27,225 </w:t>
            </w:r>
          </w:p>
        </w:tc>
      </w:tr>
      <w:tr>
        <w:trPr>
          <w:trHeight w:val="435" w:hRule="atLeast"/>
        </w:trPr>
        <w:tc>
          <w:tcPr>
            <w:tcW w:w="333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rPr>
                <w:rFonts w:ascii="Arial" w:hAnsi="Arial" w:cs="Arial"/>
                <w:color w:val="000000"/>
                <w:sz w:val="21"/>
                <w:szCs w:val="21"/>
              </w:rPr>
            </w:pPr>
            <w:r>
              <w:rPr>
                <w:rFonts w:cs="Arial" w:ascii="Arial" w:hAnsi="Arial"/>
                <w:color w:val="000000"/>
                <w:sz w:val="36"/>
                <w:szCs w:val="36"/>
              </w:rPr>
              <w:t>Above 40000</w:t>
            </w:r>
          </w:p>
        </w:tc>
        <w:tc>
          <w:tcPr>
            <w:tcW w:w="251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100" w:after="100"/>
              <w:rPr>
                <w:rFonts w:ascii="Arial" w:hAnsi="Arial" w:cs="Arial"/>
                <w:color w:val="000000"/>
                <w:sz w:val="21"/>
                <w:szCs w:val="21"/>
              </w:rPr>
            </w:pPr>
            <w:r>
              <w:rPr>
                <w:rFonts w:cs="Arial" w:ascii="Arial" w:hAnsi="Arial"/>
                <w:color w:val="000000"/>
                <w:sz w:val="36"/>
                <w:szCs w:val="36"/>
              </w:rPr>
              <w:t>$250/MWh cap</w:t>
            </w:r>
          </w:p>
        </w:tc>
      </w:tr>
    </w:tbl>
    <w:p>
      <w:pPr>
        <w:pStyle w:val="NormalWeb"/>
        <w:spacing w:before="0" w:after="0"/>
        <w:rPr>
          <w:rFonts w:ascii="Arial Narrow" w:hAnsi="Arial Narrow" w:cs="Arial"/>
          <w:b/>
          <w:bCs/>
          <w:color w:val="FF0000"/>
          <w:sz w:val="27"/>
          <w:szCs w:val="27"/>
        </w:rPr>
      </w:pPr>
      <w:r>
        <w:rPr>
          <w:rFonts w:cs="Arial" w:ascii="Arial Narrow" w:hAnsi="Arial Narrow"/>
          <w:b/>
          <w:bCs/>
          <w:color w:val="FF0000"/>
          <w:sz w:val="27"/>
          <w:szCs w:val="27"/>
        </w:rPr>
        <w:t> </w:t>
      </w:r>
    </w:p>
    <w:p>
      <w:pPr>
        <w:pStyle w:val="NormalWeb"/>
        <w:spacing w:before="0" w:after="0"/>
        <w:rPr/>
      </w:pPr>
      <w:r>
        <w:rPr/>
        <w:t>Moved: Florio Second: Woychik</w:t>
      </w:r>
    </w:p>
    <w:tbl>
      <w:tblPr>
        <w:tblW w:w="9240" w:type="dxa"/>
        <w:jc w:val="start"/>
        <w:tblInd w:w="-29" w:type="dxa"/>
        <w:tblLayout w:type="fixed"/>
        <w:tblCellMar>
          <w:top w:w="15" w:type="dxa"/>
          <w:start w:w="15" w:type="dxa"/>
          <w:bottom w:w="15" w:type="dxa"/>
          <w:end w:w="15" w:type="dxa"/>
        </w:tblCellMar>
      </w:tblPr>
      <w:tblGrid>
        <w:gridCol w:w="9240"/>
      </w:tblGrid>
      <w:tr>
        <w:trPr/>
        <w:tc>
          <w:tcPr>
            <w:tcW w:w="92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Web"/>
              <w:spacing w:before="100" w:after="100"/>
              <w:rPr>
                <w:rFonts w:ascii="Arial" w:hAnsi="Arial" w:cs="Arial"/>
                <w:color w:val="000000"/>
                <w:sz w:val="21"/>
                <w:szCs w:val="21"/>
              </w:rPr>
            </w:pPr>
            <w:r>
              <w:rPr>
                <w:rFonts w:cs="Arial" w:ascii="Arial" w:hAnsi="Arial"/>
                <w:color w:val="000000"/>
                <w:sz w:val="21"/>
                <w:szCs w:val="21"/>
              </w:rPr>
              <w:t>Board Action:</w:t>
            </w:r>
            <w:r>
              <w:rPr>
                <w:rFonts w:cs="Arial" w:ascii="Arial" w:hAnsi="Arial"/>
                <w:b/>
                <w:bCs/>
                <w:color w:val="000000"/>
                <w:sz w:val="21"/>
                <w:szCs w:val="21"/>
              </w:rPr>
              <w:t xml:space="preserve"> Passed </w:t>
            </w:r>
            <w:r>
              <w:rPr>
                <w:rFonts w:cs="Arial" w:ascii="Arial" w:hAnsi="Arial"/>
                <w:color w:val="000000"/>
                <w:sz w:val="21"/>
                <w:szCs w:val="21"/>
              </w:rPr>
              <w:t>Vote Count:</w:t>
            </w:r>
            <w:r>
              <w:rPr>
                <w:rFonts w:cs="Arial" w:ascii="Arial" w:hAnsi="Arial"/>
                <w:b/>
                <w:bCs/>
                <w:color w:val="000000"/>
                <w:sz w:val="21"/>
                <w:szCs w:val="21"/>
              </w:rPr>
              <w:t xml:space="preserve"> 13-10-0</w:t>
            </w:r>
          </w:p>
        </w:tc>
      </w:tr>
      <w:tr>
        <w:trPr/>
        <w:tc>
          <w:tcPr>
            <w:tcW w:w="92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HTMLPreformatted"/>
              <w:rPr>
                <w:color w:val="000000"/>
              </w:rPr>
            </w:pPr>
            <w:r>
              <w:rPr>
                <w:color w:val="000000"/>
              </w:rPr>
              <w:t>Barkovich    N</w:t>
            </w:r>
          </w:p>
          <w:p>
            <w:pPr>
              <w:pStyle w:val="HTMLPreformatted"/>
              <w:rPr>
                <w:color w:val="000000"/>
              </w:rPr>
            </w:pPr>
            <w:r>
              <w:rPr>
                <w:color w:val="000000"/>
              </w:rPr>
              <w:t xml:space="preserve">Blue         N     </w:t>
            </w:r>
          </w:p>
          <w:p>
            <w:pPr>
              <w:pStyle w:val="HTMLPreformatted"/>
              <w:rPr>
                <w:color w:val="000000"/>
              </w:rPr>
            </w:pPr>
            <w:r>
              <w:rPr>
                <w:color w:val="000000"/>
              </w:rPr>
              <w:t>Carnahan     Y</w:t>
            </w:r>
          </w:p>
          <w:p>
            <w:pPr>
              <w:pStyle w:val="HTMLPreformatted"/>
              <w:rPr>
                <w:color w:val="000000"/>
              </w:rPr>
            </w:pPr>
            <w:r>
              <w:rPr>
                <w:color w:val="000000"/>
              </w:rPr>
              <w:t xml:space="preserve">Fielder      Y  </w:t>
            </w:r>
          </w:p>
          <w:p>
            <w:pPr>
              <w:pStyle w:val="HTMLPreformatted"/>
              <w:rPr>
                <w:color w:val="000000"/>
              </w:rPr>
            </w:pPr>
            <w:r>
              <w:rPr>
                <w:color w:val="000000"/>
              </w:rPr>
              <w:t>Florio       Y</w:t>
            </w:r>
          </w:p>
          <w:p>
            <w:pPr>
              <w:pStyle w:val="HTMLPreformatted"/>
              <w:rPr>
                <w:color w:val="000000"/>
              </w:rPr>
            </w:pPr>
            <w:r>
              <w:rPr>
                <w:color w:val="000000"/>
              </w:rPr>
              <w:t>Freeman      Y</w:t>
            </w:r>
          </w:p>
          <w:p>
            <w:pPr>
              <w:pStyle w:val="HTMLPreformatted"/>
              <w:rPr>
                <w:color w:val="000000"/>
              </w:rPr>
            </w:pPr>
            <w:r>
              <w:rPr>
                <w:color w:val="000000"/>
              </w:rPr>
              <w:t>Hapner       Y</w:t>
            </w:r>
          </w:p>
          <w:p>
            <w:pPr>
              <w:pStyle w:val="HTMLPreformatted"/>
              <w:rPr>
                <w:color w:val="000000"/>
              </w:rPr>
            </w:pPr>
            <w:r>
              <w:rPr>
                <w:color w:val="000000"/>
              </w:rPr>
              <w:t>Ingwers      Y</w:t>
            </w:r>
          </w:p>
          <w:p>
            <w:pPr>
              <w:pStyle w:val="HTMLPreformatted"/>
              <w:rPr>
                <w:color w:val="000000"/>
              </w:rPr>
            </w:pPr>
            <w:r>
              <w:rPr>
                <w:color w:val="000000"/>
              </w:rPr>
              <w:t xml:space="preserve">Johanson     Y </w:t>
            </w:r>
          </w:p>
          <w:p>
            <w:pPr>
              <w:pStyle w:val="HTMLPreformatted"/>
              <w:rPr>
                <w:color w:val="000000"/>
              </w:rPr>
            </w:pPr>
            <w:r>
              <w:rPr>
                <w:color w:val="000000"/>
              </w:rPr>
              <w:t xml:space="preserve">Kehrein      N  </w:t>
            </w:r>
          </w:p>
          <w:p>
            <w:pPr>
              <w:pStyle w:val="HTMLPreformatted"/>
              <w:rPr>
                <w:color w:val="000000"/>
              </w:rPr>
            </w:pPr>
            <w:r>
              <w:rPr>
                <w:color w:val="000000"/>
              </w:rPr>
              <w:t xml:space="preserve">Kirshner     N </w:t>
            </w:r>
          </w:p>
          <w:p>
            <w:pPr>
              <w:pStyle w:val="HTMLPreformatted"/>
              <w:rPr>
                <w:color w:val="000000"/>
              </w:rPr>
            </w:pPr>
            <w:r>
              <w:rPr>
                <w:color w:val="000000"/>
              </w:rPr>
              <w:t xml:space="preserve">McNally      Y  </w:t>
            </w:r>
          </w:p>
          <w:p>
            <w:pPr>
              <w:pStyle w:val="HTMLPreformatted"/>
              <w:rPr>
                <w:color w:val="000000"/>
              </w:rPr>
            </w:pPr>
            <w:r>
              <w:rPr>
                <w:color w:val="000000"/>
              </w:rPr>
              <w:t>Patel        Y</w:t>
            </w:r>
          </w:p>
          <w:p>
            <w:pPr>
              <w:pStyle w:val="HTMLPreformatted"/>
              <w:rPr>
                <w:color w:val="000000"/>
              </w:rPr>
            </w:pPr>
            <w:r>
              <w:rPr>
                <w:color w:val="000000"/>
              </w:rPr>
              <w:t>Ponder       N</w:t>
            </w:r>
          </w:p>
          <w:p>
            <w:pPr>
              <w:pStyle w:val="HTMLPreformatted"/>
              <w:rPr>
                <w:color w:val="000000"/>
              </w:rPr>
            </w:pPr>
            <w:r>
              <w:rPr>
                <w:color w:val="000000"/>
              </w:rPr>
              <w:t>Pope         Y</w:t>
            </w:r>
          </w:p>
          <w:p>
            <w:pPr>
              <w:pStyle w:val="HTMLPreformatted"/>
              <w:rPr>
                <w:color w:val="000000"/>
              </w:rPr>
            </w:pPr>
            <w:r>
              <w:rPr>
                <w:color w:val="000000"/>
              </w:rPr>
              <w:t>Reed         Y</w:t>
            </w:r>
          </w:p>
          <w:p>
            <w:pPr>
              <w:pStyle w:val="HTMLPreformatted"/>
              <w:rPr>
                <w:color w:val="000000"/>
              </w:rPr>
            </w:pPr>
            <w:r>
              <w:rPr>
                <w:color w:val="000000"/>
              </w:rPr>
              <w:t xml:space="preserve">Roscoe       N   </w:t>
            </w:r>
          </w:p>
          <w:p>
            <w:pPr>
              <w:pStyle w:val="HTMLPreformatted"/>
              <w:rPr>
                <w:color w:val="000000"/>
              </w:rPr>
            </w:pPr>
            <w:r>
              <w:rPr>
                <w:color w:val="000000"/>
              </w:rPr>
              <w:t>Smutny-Jones N</w:t>
            </w:r>
          </w:p>
          <w:p>
            <w:pPr>
              <w:pStyle w:val="HTMLPreformatted"/>
              <w:rPr>
                <w:color w:val="000000"/>
              </w:rPr>
            </w:pPr>
            <w:r>
              <w:rPr>
                <w:color w:val="000000"/>
              </w:rPr>
              <w:t xml:space="preserve">Swanson      N </w:t>
            </w:r>
          </w:p>
          <w:p>
            <w:pPr>
              <w:pStyle w:val="HTMLPreformatted"/>
              <w:rPr>
                <w:color w:val="000000"/>
              </w:rPr>
            </w:pPr>
            <w:r>
              <w:rPr>
                <w:color w:val="000000"/>
              </w:rPr>
              <w:t>White        Y</w:t>
            </w:r>
          </w:p>
          <w:p>
            <w:pPr>
              <w:pStyle w:val="HTMLPreformatted"/>
              <w:rPr>
                <w:color w:val="000000"/>
              </w:rPr>
            </w:pPr>
            <w:r>
              <w:rPr>
                <w:color w:val="000000"/>
              </w:rPr>
              <w:t>Winter       N</w:t>
            </w:r>
          </w:p>
          <w:p>
            <w:pPr>
              <w:pStyle w:val="HTMLPreformatted"/>
              <w:rPr>
                <w:color w:val="000000"/>
              </w:rPr>
            </w:pPr>
            <w:r>
              <w:rPr>
                <w:color w:val="000000"/>
              </w:rPr>
              <w:t>Wiseman      X</w:t>
            </w:r>
          </w:p>
          <w:p>
            <w:pPr>
              <w:pStyle w:val="HTMLPreformatted"/>
              <w:rPr>
                <w:color w:val="000000"/>
              </w:rPr>
            </w:pPr>
            <w:r>
              <w:rPr>
                <w:color w:val="000000"/>
              </w:rPr>
              <w:t>Woods        N</w:t>
            </w:r>
          </w:p>
          <w:p>
            <w:pPr>
              <w:pStyle w:val="HTMLPreformatted"/>
              <w:rPr>
                <w:color w:val="000000"/>
              </w:rPr>
            </w:pPr>
            <w:r>
              <w:rPr>
                <w:color w:val="000000"/>
              </w:rPr>
              <w:t>Woychik      Y</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2000-10-27T10:52:00Z</dcterms:created>
  <dc:creator>jdasovic</dc:creator>
  <dc:description/>
  <dc:language>en-CA</dc:language>
  <cp:lastModifiedBy>jdasovic</cp:lastModifiedBy>
  <dcterms:modified xsi:type="dcterms:W3CDTF">2000-10-27T10:52:00Z</dcterms:modified>
  <cp:revision>1</cp:revision>
  <dc:subject/>
  <dc:title>Board of Governors</dc:title>
</cp:coreProperties>
</file>