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pPr>
      <w:r>
        <w:rPr/>
        <w:t>ENERGY AND INSTALLED CAPABILITY</w:t>
      </w:r>
    </w:p>
    <w:p>
      <w:pPr>
        <w:pStyle w:val="Heading"/>
        <w:rPr/>
      </w:pPr>
      <w:r>
        <w:rPr/>
        <w:t>SALES AGREEMENT</w:t>
      </w:r>
    </w:p>
    <w:p>
      <w:pPr>
        <w:pStyle w:val="Subtitle"/>
        <w:jc w:val="center"/>
        <w:rPr/>
      </w:pPr>
      <w:r>
        <w:rPr/>
        <w:t>Between</w:t>
      </w:r>
    </w:p>
    <w:p>
      <w:pPr>
        <w:pStyle w:val="Heading3"/>
        <w:spacing w:before="120" w:after="0"/>
        <w:ind w:hanging="0" w:start="0"/>
        <w:jc w:val="center"/>
        <w:rPr/>
      </w:pPr>
      <w:r>
        <w:rPr/>
        <w:t>NEW HAMPSHIRE ELECTRIC COOPERATIVE</w:t>
      </w:r>
    </w:p>
    <w:p>
      <w:pPr>
        <w:pStyle w:val="Normal"/>
        <w:spacing w:before="120" w:after="0"/>
        <w:jc w:val="center"/>
        <w:rPr>
          <w:b/>
        </w:rPr>
      </w:pPr>
      <w:r>
        <w:rPr>
          <w:b/>
        </w:rPr>
        <w:t>And</w:t>
      </w:r>
    </w:p>
    <w:p>
      <w:pPr>
        <w:pStyle w:val="Normal"/>
        <w:spacing w:before="120" w:after="0"/>
        <w:jc w:val="center"/>
        <w:rPr>
          <w:b/>
        </w:rPr>
      </w:pPr>
      <w:r>
        <w:rPr>
          <w:b/>
        </w:rPr>
        <w:t>ENRON POWER MARKETING, INC.</w:t>
      </w:r>
    </w:p>
    <w:p>
      <w:pPr>
        <w:pStyle w:val="Date"/>
        <w:spacing w:before="360" w:after="0"/>
        <w:ind w:firstLine="720" w:end="0"/>
        <w:jc w:val="both"/>
        <w:rPr/>
      </w:pPr>
      <w:r>
        <w:rPr/>
        <w:t>This ENERGY AND INSTALLED CAPABILITY SALES AGREEMENT ("Agreement") is made and entered into as of __________, 2000 by and between New Hampshire Electric Cooperative, Inc., having its principal place of business at 579 Tenney Mountain Highway, Plymouth, NH 03264, hereinafter referred to as "BUYER," and Enron Power Marketing, Inc., a Delaware corporation, with its principal place of business at 1400 Smith Street, Houston, Texas 77002 hereinafter referred to as "SELLER" (individually, a "Party" and collectively the "Parties").</w:t>
      </w:r>
    </w:p>
    <w:p>
      <w:pPr>
        <w:pStyle w:val="Heading1"/>
        <w:spacing w:before="120" w:after="0"/>
        <w:ind w:hanging="0" w:start="0"/>
        <w:rPr/>
      </w:pPr>
      <w:r>
        <w:rPr/>
        <w:t>ARTICLE 1</w:t>
        <w:br/>
        <w:t>TERM OF SERVICE</w:t>
      </w:r>
    </w:p>
    <w:p>
      <w:pPr>
        <w:pStyle w:val="Normal"/>
        <w:spacing w:before="120" w:after="0"/>
        <w:ind w:firstLine="720" w:end="0"/>
        <w:jc w:val="both"/>
        <w:rPr/>
      </w:pPr>
      <w:r>
        <w:rPr/>
        <w:t>1.1</w:t>
        <w:tab/>
      </w:r>
      <w:r>
        <w:rPr>
          <w:u w:val="single"/>
        </w:rPr>
        <w:t>Term of Service.</w:t>
      </w:r>
      <w:r>
        <w:rPr/>
        <w:t xml:space="preserve">  This Agreement shall become effective on hour ending ("HE") 0100, Eastern Prevailing Time ("EPT") on September 1, 2000 and shall remain in effect through HE 2400, EPT, on May 31, 2001 and terminate on this date at this time ("Transaction Period").</w:t>
      </w:r>
    </w:p>
    <w:p>
      <w:pPr>
        <w:pStyle w:val="Normal"/>
        <w:spacing w:before="120" w:after="0"/>
        <w:ind w:firstLine="720" w:end="0"/>
        <w:jc w:val="both"/>
        <w:rPr/>
      </w:pPr>
      <w:r>
        <w:rPr/>
        <w:t>1.2</w:t>
        <w:tab/>
      </w:r>
      <w:r>
        <w:rPr>
          <w:u w:val="single"/>
        </w:rPr>
        <w:t>Conditions to the Effective Date of the Term of Service.</w:t>
      </w:r>
      <w:r>
        <w:rPr/>
        <w:t xml:space="preserve">  [This Agreement shall become effective upon the issuance of an order (the "Order") by New Hampshire Public Utilities Commission ("PUC") [approving this Agreement.] [Discuss necessity/timing.]</w:t>
      </w:r>
    </w:p>
    <w:p>
      <w:pPr>
        <w:pStyle w:val="Normal"/>
        <w:spacing w:before="120" w:after="0"/>
        <w:ind w:firstLine="720" w:end="0"/>
        <w:jc w:val="both"/>
        <w:rPr/>
      </w:pPr>
      <w:r>
        <w:rPr/>
        <w:t>As soon as is reasonably possible following the execution of this Agreement but in no event later than _________, 2000, BUYER shall request that the PUC issue the Order .  BUYER agrees that it shall use all commercially reasonable efforts to cause the PUC to issue the Order as soon as practicably possible.  SELLER agrees not to oppose such a request and, upon BUYER’s request, to provide commercially reasonable support for such request provided, however, in no event shall SELLER be required to change the terms of this Agreement and/or to incur any costs or expenses in connection with such request by BUYER.  Except as set forth in the Article 1.2.  Neither Party shall have any obligations hereunder if PUC fails to issue the Order as requested by BUYER.</w:t>
      </w:r>
    </w:p>
    <w:p>
      <w:pPr>
        <w:pStyle w:val="Normal"/>
        <w:spacing w:before="120" w:after="0"/>
        <w:ind w:firstLine="720" w:end="0"/>
        <w:jc w:val="both"/>
        <w:rPr/>
      </w:pPr>
      <w:r>
        <w:rPr/>
        <w:t>In the event that the PUC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PUC Order or the PUC does not accept the changes negotiated by the Parties hereunder, then either party shall have the right to terminate this Agreement by giving written notice of termination to the other Party not later than ten (10) Business Days after the PUC Order, or to the extent applicable, not later than five (5) Business Days after the Parties receive notice that the PUC does not accept the negotiated charges, in which event this Agreement shall be null and void and of no further force and effect from and after the date of termination.</w:t>
      </w:r>
    </w:p>
    <w:p>
      <w:pPr>
        <w:pStyle w:val="Normal"/>
        <w:spacing w:before="120" w:after="0"/>
        <w:ind w:firstLine="720" w:end="0"/>
        <w:jc w:val="both"/>
        <w:rPr/>
      </w:pPr>
      <w:r>
        <w:rPr/>
        <w:t>If the PUC has not issued an Order on or before _____, then SELLER shall have the right to terminate this Agreement upon written notice to BUYER at any time prior to issuance of an Order by the PUC.</w:t>
      </w:r>
    </w:p>
    <w:p>
      <w:pPr>
        <w:pStyle w:val="Heading1"/>
        <w:spacing w:before="120" w:after="0"/>
        <w:ind w:hanging="0" w:start="0"/>
        <w:rPr/>
      </w:pPr>
      <w:r>
        <w:rPr/>
        <w:t>ARTICLE 2</w:t>
        <w:br/>
        <w:t>TYPE OF TRANSACTION</w:t>
      </w:r>
    </w:p>
    <w:p>
      <w:pPr>
        <w:pStyle w:val="Normal"/>
        <w:spacing w:before="120" w:after="0"/>
        <w:ind w:firstLine="720" w:end="0"/>
        <w:jc w:val="both"/>
        <w:rPr/>
      </w:pPr>
      <w:r>
        <w:rPr>
          <w:u w:val="single"/>
        </w:rPr>
        <w:t>Type of Transaction.</w:t>
      </w:r>
      <w:r>
        <w:rPr/>
        <w:t xml:space="preserve">  Purchase of must take, fixed blocks of Installed Capability and Energy.  </w:t>
      </w:r>
    </w:p>
    <w:p>
      <w:pPr>
        <w:pStyle w:val="Heading1"/>
        <w:spacing w:before="120" w:after="0"/>
        <w:ind w:hanging="0" w:start="0"/>
        <w:rPr/>
      </w:pPr>
      <w:r>
        <w:rPr/>
        <w:t>ARTICLE 3</w:t>
        <w:br/>
        <w:t>PRODUCTS AND AMOUNTS</w:t>
      </w:r>
    </w:p>
    <w:p>
      <w:pPr>
        <w:pStyle w:val="Normal"/>
        <w:spacing w:before="120" w:after="0"/>
        <w:ind w:firstLine="720" w:end="0"/>
        <w:jc w:val="both"/>
        <w:rPr/>
      </w:pPr>
      <w:r>
        <w:rPr>
          <w:u w:val="single"/>
        </w:rPr>
        <w:t>Products and Amounts.</w:t>
      </w:r>
      <w:r>
        <w:rPr/>
        <w:t xml:space="preserve">  SELLER shall sell and BUYER shall buy a must take fixed amount of Installed Capability and Energy for the periods in the amounts and under the terms, rates and charges set forth in Exhibit A.  Installed Capability and Energy are as defined in the Restated NEPOOL Agreement.  For purposes of this Agreement, "Baseload Energy" shall be Energy delivered during all hours of the day, Mondays through Sundays, including holidays of the North American Reliability Council ("NERC") and "On Peak Energy" shall be Energy delivered during the hours ending 0800 through 2300 EPT, Monday through Fridays only, excluding NERC holidays. </w:t>
      </w:r>
    </w:p>
    <w:p>
      <w:pPr>
        <w:pStyle w:val="Heading1"/>
        <w:spacing w:before="120" w:after="0"/>
        <w:ind w:hanging="0" w:start="0"/>
        <w:rPr/>
      </w:pPr>
      <w:r>
        <w:rPr/>
        <w:t>ARTICLE 4</w:t>
        <w:br/>
        <w:t>DELIVERY POINT</w:t>
      </w:r>
    </w:p>
    <w:p>
      <w:pPr>
        <w:pStyle w:val="Normal"/>
        <w:spacing w:before="120" w:after="0"/>
        <w:ind w:firstLine="720" w:end="0"/>
        <w:jc w:val="both"/>
        <w:rPr/>
      </w:pPr>
      <w:r>
        <w:rPr>
          <w:u w:val="single"/>
        </w:rPr>
        <w:t>Delivery Point.</w:t>
      </w:r>
      <w:r>
        <w:rPr/>
        <w:t xml:space="preserve">  The contracted for amounts of Energy described in Article 3 above shall be delivered by SELLER to BUYER at any point on the NEPOOL Pool Transmission Facilities ("Delivery Point").</w:t>
      </w:r>
    </w:p>
    <w:p>
      <w:pPr>
        <w:pStyle w:val="Heading1"/>
        <w:spacing w:before="120" w:after="0"/>
        <w:ind w:hanging="0" w:start="0"/>
        <w:rPr/>
      </w:pPr>
      <w:r>
        <w:rPr/>
        <w:t>ARTICLE 5</w:t>
        <w:br/>
        <w:t>TRANSMISSION</w:t>
      </w:r>
    </w:p>
    <w:p>
      <w:pPr>
        <w:pStyle w:val="Normal"/>
        <w:spacing w:before="120" w:after="0"/>
        <w:ind w:firstLine="720" w:end="0"/>
        <w:jc w:val="both"/>
        <w:rPr/>
      </w:pPr>
      <w:r>
        <w:rPr>
          <w:u w:val="single"/>
        </w:rPr>
        <w:t>Transmission.</w:t>
      </w:r>
      <w:r>
        <w:rPr/>
        <w:t xml:space="preserve">  SELLER shall be responsible for any transmission arrangements, including transmission losses and services (including ancillary services) necessary to deliver and transmit the contracted for amount of Energy sold hereunder to the Delivery Point.  BUYER shall be responsible for any transmission arrangements, including transmission losses and loss charges and any services (including ancillary services) necessary to receive and transmit the contracted for amounts of Energy bought hereunder from the Delivery Point.</w:t>
      </w:r>
    </w:p>
    <w:p>
      <w:pPr>
        <w:pStyle w:val="Heading1"/>
        <w:spacing w:before="120" w:after="0"/>
        <w:ind w:hanging="0" w:start="0"/>
        <w:rPr/>
      </w:pPr>
      <w:r>
        <w:rPr/>
        <w:t>ARTICLE 6</w:t>
        <w:br/>
        <w:t>PRICE TERMS</w:t>
      </w:r>
    </w:p>
    <w:p>
      <w:pPr>
        <w:pStyle w:val="Normal"/>
        <w:spacing w:before="120" w:after="0"/>
        <w:ind w:firstLine="720" w:end="0"/>
        <w:jc w:val="both"/>
        <w:rPr/>
      </w:pPr>
      <w:r>
        <w:rPr/>
        <w:t>6.1</w:t>
        <w:tab/>
      </w:r>
      <w:r>
        <w:rPr>
          <w:u w:val="single"/>
        </w:rPr>
        <w:t>Contract Charge.</w:t>
      </w:r>
      <w:r>
        <w:rPr/>
        <w:t xml:space="preserve">  In exchange for the Installed Capability and Energy, BUYER shall pay SELLER the prices (the "Charges") set forth in Appendix A to this Agreement for the Baseload Energy, the On Peak Energy and the Installed Capability. </w:t>
      </w:r>
    </w:p>
    <w:p>
      <w:pPr>
        <w:pStyle w:val="Normal"/>
        <w:spacing w:before="120" w:after="0"/>
        <w:ind w:firstLine="720" w:end="0"/>
        <w:jc w:val="both"/>
        <w:rPr/>
      </w:pPr>
      <w:r>
        <w:rPr/>
        <w:t>6.2</w:t>
        <w:tab/>
      </w:r>
      <w:r>
        <w:rPr>
          <w:u w:val="single"/>
        </w:rPr>
        <w:t>Calculation of Monthly Energy Charge.</w:t>
      </w:r>
      <w:r>
        <w:rPr/>
        <w:t xml:space="preserve">  The BUYER’s total Monthly Energy Charge for Baseload Energy shall be the product of the Energy Charge for the applicable month as set forth in Appendix A times the amount of Baseload Energy SELLER is required to deliver to BUYER in such month as set forth in Appendix A.  The BUYER’s total Monthly Energy Charge for On Peak Energy shall be the product of the Energy Charge for the applicable month as set forth in Appendix A times the amount of On Peak Energy SELLER is required to deliver to BUYER in such month as set forth in Appendix A.</w:t>
      </w:r>
    </w:p>
    <w:p>
      <w:pPr>
        <w:pStyle w:val="Normal"/>
        <w:spacing w:before="120" w:after="0"/>
        <w:ind w:firstLine="720" w:end="0"/>
        <w:jc w:val="both"/>
        <w:rPr/>
      </w:pPr>
      <w:r>
        <w:rPr/>
        <w:t>6.3</w:t>
        <w:tab/>
      </w:r>
      <w:r>
        <w:rPr>
          <w:u w:val="single"/>
        </w:rPr>
        <w:t>Calculation of Monthly Installed Capability Charge.</w:t>
      </w:r>
      <w:r>
        <w:rPr/>
        <w:t xml:space="preserve"> The BUYER’s total Monthly Installed Capability Charge shall be the product of the Installed Capability Charge for the applicable month as set forth in Appendix A times the Installed Capability kilowatts made available by SELLER is required to make available to BUYER in such month as set forth in Appendix A.</w:t>
      </w:r>
    </w:p>
    <w:p>
      <w:pPr>
        <w:pStyle w:val="Normal"/>
        <w:spacing w:before="120" w:after="0"/>
        <w:ind w:firstLine="720" w:end="0"/>
        <w:jc w:val="both"/>
        <w:rPr/>
      </w:pPr>
      <w:r>
        <w:rPr/>
        <w:t>6.4</w:t>
        <w:tab/>
      </w:r>
      <w:r>
        <w:rPr>
          <w:u w:val="single"/>
        </w:rPr>
        <w:t>No Liability for Additional Costs.</w:t>
      </w:r>
      <w:r>
        <w:rPr/>
        <w:t xml:space="preserve">  Except as set forth in Articles 5 and 9, in no event shall BUYER be liable for any additional costs associated with the contracted for amount of Installed Capability and Energy, including but not limited to taxes and penalties.</w:t>
      </w:r>
    </w:p>
    <w:p>
      <w:pPr>
        <w:pStyle w:val="Heading1"/>
        <w:spacing w:before="120" w:after="0"/>
        <w:ind w:hanging="0" w:start="0"/>
        <w:rPr/>
      </w:pPr>
      <w:r>
        <w:rPr/>
        <w:t>ARTICLE 7</w:t>
        <w:br/>
        <w:t>BILLING AND PAYMENT</w:t>
      </w:r>
    </w:p>
    <w:p>
      <w:pPr>
        <w:pStyle w:val="Normal"/>
        <w:spacing w:before="120" w:after="0"/>
        <w:ind w:firstLine="630" w:end="0"/>
        <w:jc w:val="both"/>
        <w:rPr/>
      </w:pPr>
      <w:r>
        <w:rPr/>
        <w:t>7.1</w:t>
        <w:tab/>
      </w:r>
      <w:r>
        <w:rPr>
          <w:u w:val="single"/>
        </w:rPr>
        <w:t>Presentation and Payments.</w:t>
      </w:r>
      <w:r>
        <w:rPr/>
        <w:t xml:space="preserve">  Unless otherwise agreed: (i) SELLER shall submit a monthly billing statement and invoice for the contracted for amounts of Installed Capability and Energy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agreed upon electronic means; (iii) all such invoices shall be due and payable in immediately available funds not later than the Due Date, defined as twenty (20) days after receipt of the invoice; (iv) any amounts not paid when due shall be deemed delinquent and shall then accrue interest from the Due Date to the date of payment at the prevailing prime rate as may be published from time to time in the </w:t>
      </w:r>
      <w:r>
        <w:rPr>
          <w:i/>
        </w:rPr>
        <w:t>Wall Street Journal</w:t>
      </w:r>
      <w:r>
        <w:rPr/>
        <w:t xml:space="preserve"> under "Money Rates" plus 2% (the "Interest Rate"); and (v) all remittances for payment shall be made in immediately available funds from BUYER’s funds.  Pending the availability of actual data, billings may be based upon estimates, subject to true-up when actual data becomes available.  Except for bills disputed in accordance with the provisions of Article 7.2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spacing w:before="120" w:after="0"/>
        <w:ind w:firstLine="630" w:end="0"/>
        <w:jc w:val="both"/>
        <w:rPr/>
      </w:pPr>
      <w:r>
        <w:rPr/>
        <w:t>7.2</w:t>
        <w:tab/>
      </w:r>
      <w:r>
        <w:rPr>
          <w:u w:val="single"/>
        </w:rPr>
        <w:t>Disputed Bill.</w:t>
      </w:r>
      <w:r>
        <w:rPr/>
        <w:t xml:space="preserve">  Each bill shall be subject to adjustment for any errors in arithmetic, computation, estimating, or otherwise.  The Parties shall use their reasonable best efforts to resolve disputes promptly. Unless otherwise agreed, in case of a dispute to any portion of any bill, as long as the contracted for amount of Energy has been delivered to the Delivery Point or Buyer has received credit for the Installed Capability,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five (5) Business Days, together with interest from the original due date for payment of the bill, calculated at the Interest Rate.  BUYER’s payment of a bill (whether or not under protest) shall not affect any legal or equitable rights a Party may have to challenge the correctness of the bill within the time limitations established in Article 7.3 below.</w:t>
      </w:r>
    </w:p>
    <w:p>
      <w:pPr>
        <w:pStyle w:val="Normal"/>
        <w:spacing w:before="120" w:after="0"/>
        <w:ind w:firstLine="630" w:end="0"/>
        <w:jc w:val="both"/>
        <w:rPr/>
      </w:pPr>
      <w:r>
        <w:rPr/>
        <w:t>7.3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 Interest Rate, and shall be made in the month following such determinations.</w:t>
      </w:r>
    </w:p>
    <w:p>
      <w:pPr>
        <w:pStyle w:val="Heading1"/>
        <w:spacing w:before="120" w:after="0"/>
        <w:ind w:hanging="0" w:start="0"/>
        <w:rPr/>
      </w:pPr>
      <w:r>
        <w:rPr/>
        <w:t>ARTICLE 8</w:t>
        <w:br/>
        <w:t>TRANSFER OF TITLE</w:t>
      </w:r>
    </w:p>
    <w:p>
      <w:pPr>
        <w:pStyle w:val="Normal"/>
        <w:spacing w:before="120" w:after="0"/>
        <w:ind w:firstLine="720" w:end="0"/>
        <w:jc w:val="both"/>
        <w:rPr/>
      </w:pPr>
      <w:r>
        <w:rPr>
          <w:u w:val="single"/>
        </w:rPr>
        <w:t>Transfer of Title.</w:t>
      </w:r>
      <w:r>
        <w:rPr/>
        <w:t xml:space="preserve">  Title to and risk of loss relating to the contracted for Energy delivered or received and the Installed Capability provided hereunder shall transfer from SELLER to BUYER at the Delivery Point.</w:t>
      </w:r>
    </w:p>
    <w:p>
      <w:pPr>
        <w:pStyle w:val="Heading1"/>
        <w:spacing w:before="120" w:after="0"/>
        <w:ind w:hanging="0" w:start="0"/>
        <w:rPr>
          <w:b w:val="false"/>
        </w:rPr>
      </w:pPr>
      <w:r>
        <w:rPr/>
        <w:t>ARTICLE 9</w:t>
        <w:br/>
        <w:t>TAXES</w:t>
      </w:r>
    </w:p>
    <w:p>
      <w:pPr>
        <w:pStyle w:val="Normal"/>
        <w:spacing w:before="120" w:after="0"/>
        <w:ind w:firstLine="720" w:end="0"/>
        <w:jc w:val="both"/>
        <w:rPr/>
      </w:pPr>
      <w:r>
        <w:rPr>
          <w:u w:val="single"/>
        </w:rPr>
        <w:t>Taxes.</w:t>
      </w:r>
      <w:r>
        <w:rPr/>
        <w:t xml:space="preserve">  SELLER shall pay or cause to be paid all taxes on or with respect to the sale of the contracted for Installed Capability and Energy hereunder incurred up to the Delivery Point.  BUYER shall pay or cause to be paid all taxes on or with respect to the contracted for amount of Installed Capability and Energy hereunder incurred at and from the Delivery Point.</w:t>
      </w:r>
    </w:p>
    <w:p>
      <w:pPr>
        <w:pStyle w:val="Heading1"/>
        <w:spacing w:before="120" w:after="0"/>
        <w:ind w:hanging="0" w:start="0"/>
        <w:rPr/>
      </w:pPr>
      <w:r>
        <w:rPr/>
        <w:t>ARTICLE 10</w:t>
        <w:br/>
        <w:t>REMEDIES</w:t>
      </w:r>
    </w:p>
    <w:p>
      <w:pPr>
        <w:pStyle w:val="Normal"/>
        <w:spacing w:before="120" w:after="0"/>
        <w:ind w:firstLine="720" w:end="0"/>
        <w:jc w:val="both"/>
        <w:rPr/>
      </w:pPr>
      <w:r>
        <w:rPr/>
        <w:t>10.1</w:t>
        <w:tab/>
        <w:t>In the event SELLER fails to schedule and/or deliver all or part of either or both of the contracted for amounts of Installed Capability or Energy (separately the "Product") as required hereunder, where such failure is not excused by a Force Majeure event or by BUYER's non-performance, then SELLER shall pay BUYER an amount for each unit of such deficiency equal to the positive difference, if any, between (i) the clearing price, as determined by ISO New England in accordance with the applicable NEPOOL Market Rules and Procedures, at which BUYER is or would be able to obtain contemporaneously comparable supplies of the Product which was not delivered or made available in accordance with the terms of this Agreement minus (ii) the Charge to be paid for the Product.</w:t>
      </w:r>
    </w:p>
    <w:p>
      <w:pPr>
        <w:pStyle w:val="Normal"/>
        <w:spacing w:before="120" w:after="0"/>
        <w:ind w:firstLine="720" w:end="0"/>
        <w:jc w:val="both"/>
        <w:rPr/>
      </w:pPr>
      <w:r>
        <w:rPr/>
        <w:t>10.2</w:t>
        <w:tab/>
        <w:t>In the event BUYER fails to schedule and/or receive all or part of either or both of the contracted for amounts of Installed Capability or Energy (separately the "Product") as required hereunder, where such failure is not excused by a Force Majeure event or by SELLER's non-performance, then BUYER shall pay SELLER an amount equal to the positive difference, if any, between (i) the Charge to be paid for the Product if BUYER had received such Product minus (ii) the clearing price, as determined by ISO New England in accordance with the applicable NEPOOL Market Rules and Procedures, at which SELLER is able to sell each component of the Product that was not taken by BUYER.</w:t>
      </w:r>
    </w:p>
    <w:p>
      <w:pPr>
        <w:pStyle w:val="Heading1"/>
        <w:spacing w:before="120" w:after="0"/>
        <w:ind w:hanging="0" w:start="0"/>
        <w:rPr/>
      </w:pPr>
      <w:r>
        <w:rPr/>
        <w:t>ARTICLE 11</w:t>
        <w:br/>
        <w:t>FORCE MAJEURE</w:t>
      </w:r>
    </w:p>
    <w:p>
      <w:pPr>
        <w:pStyle w:val="Normal"/>
        <w:spacing w:before="120" w:after="0"/>
        <w:ind w:firstLine="720" w:end="0"/>
        <w:jc w:val="both"/>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spacing w:before="120" w:after="0"/>
        <w:ind w:firstLine="720" w:end="0"/>
        <w:jc w:val="both"/>
        <w:rPr/>
      </w:pPr>
      <w:r>
        <w:rPr/>
        <w:t>Force Majeure shall mean any cause beyond the reasonable control of, and not the result of negligence, or the lack of diligence of, the Party claiming Force Majeure. Force Majeure shall not include economic harm to either Party.  It may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 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w:t>
      </w:r>
    </w:p>
    <w:p>
      <w:pPr>
        <w:pStyle w:val="Heading1"/>
        <w:keepLines/>
        <w:tabs>
          <w:tab w:val="clear" w:pos="720"/>
          <w:tab w:val="left" w:pos="-720" w:leader="none"/>
        </w:tabs>
        <w:suppressAutoHyphens w:val="true"/>
        <w:spacing w:before="120" w:after="0"/>
        <w:ind w:hanging="0" w:start="0"/>
        <w:rPr/>
      </w:pPr>
      <w:r>
        <w:rPr/>
        <w:t>ARTICLE 12</w:t>
        <w:br/>
        <w:t>EVENTS OF DEFAULT</w:t>
      </w:r>
    </w:p>
    <w:p>
      <w:pPr>
        <w:pStyle w:val="BodyText"/>
        <w:keepLines/>
        <w:tabs>
          <w:tab w:val="clear" w:pos="720"/>
          <w:tab w:val="left" w:pos="-720" w:leader="none"/>
        </w:tabs>
        <w:suppressAutoHyphens w:val="true"/>
        <w:spacing w:before="120" w:after="0"/>
        <w:ind w:firstLine="720" w:end="0"/>
        <w:jc w:val="both"/>
        <w:rPr>
          <w:b w:val="false"/>
          <w:sz w:val="24"/>
        </w:rPr>
      </w:pPr>
      <w:r>
        <w:rPr>
          <w:b w:val="false"/>
          <w:sz w:val="24"/>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p>
    <w:p>
      <w:pPr>
        <w:pStyle w:val="BodyText"/>
        <w:tabs>
          <w:tab w:val="clear" w:pos="720"/>
          <w:tab w:val="left" w:pos="-720" w:leader="none"/>
        </w:tabs>
        <w:suppressAutoHyphens w:val="true"/>
        <w:spacing w:before="120" w:after="0"/>
        <w:ind w:firstLine="720" w:end="0"/>
        <w:jc w:val="both"/>
        <w:rPr>
          <w:b w:val="false"/>
          <w:sz w:val="24"/>
        </w:rPr>
      </w:pPr>
      <w:r>
        <w:rPr>
          <w:b w:val="false"/>
          <w:sz w:val="24"/>
        </w:rPr>
        <w:t>12.1</w:t>
        <w:tab/>
        <w:t>For purposes of this Agreement, each of the following shall constitute an event of default (“Event of Default”) with respect to a Party (the “Defaulting Party”).</w:t>
      </w:r>
    </w:p>
    <w:p>
      <w:pPr>
        <w:pStyle w:val="Normal"/>
        <w:tabs>
          <w:tab w:val="clear" w:pos="720"/>
          <w:tab w:val="left" w:pos="-720" w:leader="none"/>
        </w:tabs>
        <w:suppressAutoHyphens w:val="true"/>
        <w:spacing w:before="120" w:after="0"/>
        <w:ind w:firstLine="720" w:start="720" w:end="0"/>
        <w:jc w:val="both"/>
        <w:rPr/>
      </w:pPr>
      <w:r>
        <w:rPr/>
        <w:t>(a)</w:t>
        <w:tab/>
        <w:t xml:space="preserve"> Failure by the Defaulting Party to make, when due, any payment required under this Agreement from the Defaulting Party to the Other Party (“Non-Defaulting Party”) and </w:t>
      </w:r>
      <w:r>
        <w:rPr>
          <w:i/>
        </w:rPr>
        <w:t>provided</w:t>
      </w:r>
      <w:r>
        <w:rPr/>
        <w:t xml:space="preserve"> that the payment is not the subject of a good faith dispute and such non-payment is not cured within three (3) days after notice to the Defaulting Party; or</w:t>
      </w:r>
    </w:p>
    <w:p>
      <w:pPr>
        <w:pStyle w:val="Normal"/>
        <w:tabs>
          <w:tab w:val="clear" w:pos="720"/>
          <w:tab w:val="left" w:pos="-720" w:leader="none"/>
        </w:tabs>
        <w:suppressAutoHyphens w:val="true"/>
        <w:spacing w:before="120" w:after="0"/>
        <w:ind w:firstLine="720" w:start="720" w:end="0"/>
        <w:jc w:val="both"/>
        <w:rPr/>
      </w:pPr>
      <w:r>
        <w:rPr/>
        <w:t>(b)</w:t>
        <w:tab/>
        <w:t>The Defaulting Party shall:</w:t>
      </w:r>
    </w:p>
    <w:p>
      <w:pPr>
        <w:pStyle w:val="BodyTextIndent"/>
        <w:tabs>
          <w:tab w:val="clear" w:pos="0"/>
          <w:tab w:val="clear" w:pos="720"/>
          <w:tab w:val="left" w:pos="-720" w:leader="none"/>
        </w:tabs>
        <w:spacing w:before="120" w:after="0"/>
        <w:ind w:firstLine="720" w:end="0"/>
        <w:rPr/>
      </w:pPr>
      <w:r>
        <w:rPr/>
        <w:t>(i)</w:t>
        <w:tab/>
        <w:t>make a general assignment for the benefit of creditors;</w:t>
      </w:r>
    </w:p>
    <w:p>
      <w:pPr>
        <w:pStyle w:val="Normal"/>
        <w:tabs>
          <w:tab w:val="clear" w:pos="720"/>
          <w:tab w:val="left" w:pos="-720" w:leader="none"/>
        </w:tabs>
        <w:suppressAutoHyphens w:val="true"/>
        <w:spacing w:before="120" w:after="0"/>
        <w:ind w:firstLine="720" w:start="1440" w:end="0"/>
        <w:jc w:val="both"/>
        <w:rPr/>
      </w:pPr>
      <w:r>
        <w:rPr/>
        <w:t>(ii)</w:t>
        <w:tab/>
        <w:t>file a petition or otherwise commence, authorize or consent to the commencement of a proceeding, or cause of action, under any bankruptcy or similar law for the protection of creditors, or have such petition filed against it;</w:t>
      </w:r>
    </w:p>
    <w:p>
      <w:pPr>
        <w:pStyle w:val="Normal"/>
        <w:tabs>
          <w:tab w:val="clear" w:pos="720"/>
          <w:tab w:val="left" w:pos="-720" w:leader="none"/>
        </w:tabs>
        <w:suppressAutoHyphens w:val="true"/>
        <w:spacing w:before="120" w:after="0"/>
        <w:ind w:firstLine="720" w:start="1440" w:end="0"/>
        <w:jc w:val="both"/>
        <w:rPr/>
      </w:pPr>
      <w:r>
        <w:rPr/>
        <w:t>(iii)</w:t>
        <w:tab/>
        <w:t>a court of competent jurisdiction shall determine that such Defaulting Party is generally not paying its debts as such debts become due or such Defaulting Party is bankrupt; or</w:t>
      </w:r>
    </w:p>
    <w:p>
      <w:pPr>
        <w:pStyle w:val="Normal"/>
        <w:tabs>
          <w:tab w:val="clear" w:pos="720"/>
          <w:tab w:val="left" w:pos="-720" w:leader="none"/>
        </w:tabs>
        <w:suppressAutoHyphens w:val="true"/>
        <w:spacing w:before="120" w:after="0"/>
        <w:ind w:firstLine="720" w:start="1440" w:end="0"/>
        <w:jc w:val="both"/>
        <w:rPr/>
      </w:pPr>
      <w:r>
        <w:rPr/>
        <w:t>(iv)</w:t>
        <w:tab/>
        <w:t xml:space="preserve">admit in writing its inability to pay its debts generally as they become due.  </w:t>
      </w:r>
    </w:p>
    <w:p>
      <w:pPr>
        <w:pStyle w:val="BodyText2"/>
        <w:spacing w:before="120" w:after="0"/>
        <w:ind w:firstLine="720" w:start="720" w:end="0"/>
        <w:jc w:val="both"/>
        <w:rPr>
          <w:b w:val="false"/>
        </w:rPr>
      </w:pPr>
      <w:r>
        <w:rPr>
          <w:b w:val="false"/>
        </w:rPr>
        <w:t>(c)</w:t>
        <w:tab/>
        <w:t>Failure by the Defaulting Party to perform any material covenant set forth in this Agreement and such failure is not cured within ten (10) days notice to the Defaulting Party;</w:t>
      </w:r>
    </w:p>
    <w:p>
      <w:pPr>
        <w:pStyle w:val="BodyText2"/>
        <w:spacing w:before="120" w:after="0"/>
        <w:ind w:firstLine="720" w:start="720" w:end="0"/>
        <w:jc w:val="both"/>
        <w:rPr>
          <w:b w:val="false"/>
        </w:rPr>
      </w:pPr>
      <w:r>
        <w:rPr>
          <w:b w:val="false"/>
        </w:rPr>
        <w:t>(d)</w:t>
        <w:tab/>
        <w:t>Breach by the Defaulting Party of any representation or warranty set forth in Article 16.</w:t>
      </w:r>
    </w:p>
    <w:p>
      <w:pPr>
        <w:pStyle w:val="BodyText"/>
        <w:tabs>
          <w:tab w:val="left" w:pos="-720" w:leader="none"/>
          <w:tab w:val="left" w:pos="0" w:leader="none"/>
          <w:tab w:val="left" w:pos="720" w:leader="none"/>
        </w:tabs>
        <w:suppressAutoHyphens w:val="true"/>
        <w:spacing w:before="120" w:after="0"/>
        <w:ind w:firstLine="720" w:end="0"/>
        <w:jc w:val="both"/>
        <w:rPr>
          <w:b w:val="false"/>
          <w:sz w:val="24"/>
        </w:rPr>
      </w:pPr>
      <w:r>
        <w:rPr>
          <w:b w:val="false"/>
          <w:sz w:val="24"/>
        </w:rPr>
        <w:t>12.2</w:t>
        <w:tab/>
        <w:t xml:space="preserve">A Non-Defaulting Party has the option of terminating this Agreement for an Event of Default caused by the Defaulting Party.  </w:t>
      </w:r>
    </w:p>
    <w:p>
      <w:pPr>
        <w:pStyle w:val="BodyText"/>
        <w:tabs>
          <w:tab w:val="left" w:pos="-720" w:leader="none"/>
          <w:tab w:val="left" w:pos="0" w:leader="none"/>
          <w:tab w:val="left" w:pos="720" w:leader="none"/>
        </w:tabs>
        <w:suppressAutoHyphens w:val="true"/>
        <w:spacing w:before="120" w:after="0"/>
        <w:ind w:firstLine="720" w:end="0"/>
        <w:jc w:val="both"/>
        <w:rPr>
          <w:b w:val="false"/>
          <w:sz w:val="24"/>
        </w:rPr>
      </w:pPr>
      <w:r>
        <w:rPr>
          <w:b w:val="false"/>
          <w:sz w:val="24"/>
        </w:rPr>
        <w:t>For all Events of Default, the Non-Defaulting Party shall have the right to terminate this Agreement.  In order to terminate this Agreement, the Non-Defaulting Party shall send written notice to the Defaulting Party, establishing a date upon which this Agreement shall terminate which date shall be between one (1) and twenty (20) days after the Non-Defaulting Party sends notice (“Early Termination Date”).  The Non-Defaulting Party shall be entitled to damages from the Defaulting Party based upon the replacement value of this Agreement (the “Replacement Value”) if the Non-Defaulting Party elects to terminate this Agreement.</w:t>
      </w:r>
    </w:p>
    <w:p>
      <w:pPr>
        <w:pStyle w:val="BodyText"/>
        <w:tabs>
          <w:tab w:val="left" w:pos="-720" w:leader="none"/>
          <w:tab w:val="left" w:pos="0" w:leader="none"/>
          <w:tab w:val="left" w:pos="720" w:leader="none"/>
        </w:tabs>
        <w:suppressAutoHyphens w:val="true"/>
        <w:spacing w:before="120" w:after="0"/>
        <w:ind w:firstLine="720" w:end="0"/>
        <w:jc w:val="both"/>
        <w:rPr>
          <w:sz w:val="24"/>
        </w:rPr>
      </w:pPr>
      <w:r>
        <w:rPr>
          <w:sz w:val="24"/>
        </w:rPr>
        <w:t>FOR DISCUSSION PURPOSES:  We propose that we add more detailed language from draft of earlier agreement.</w:t>
      </w:r>
    </w:p>
    <w:p>
      <w:pPr>
        <w:pStyle w:val="Heading1"/>
        <w:spacing w:before="120" w:after="0"/>
        <w:ind w:hanging="0" w:start="0"/>
        <w:rPr/>
      </w:pPr>
      <w:r>
        <w:rPr/>
        <w:t>ARTICLE 13</w:t>
        <w:br/>
        <w:t>LIMITATION OF LIABILITY</w:t>
      </w:r>
    </w:p>
    <w:p>
      <w:pPr>
        <w:pStyle w:val="Normal"/>
        <w:spacing w:before="120" w:after="0"/>
        <w:ind w:firstLine="720" w:end="0"/>
        <w:jc w:val="both"/>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OTHER DAMAGES SHALL BE WAIVED. IN NO EVENT SHALL EITHER PARTY BE LIABLE TO THE OTHER PARTY FOR CONSEQUENTIAL, INCIDENTAL OR PUNITIVE, EXEMPLARY OR INDIRECT DAMAGES, WHETHER ARISING IN TORT, CONTRACT OR OTHERWISE.</w:t>
      </w:r>
    </w:p>
    <w:p>
      <w:pPr>
        <w:pStyle w:val="Heading1"/>
        <w:spacing w:before="120" w:after="0"/>
        <w:ind w:hanging="0" w:start="0"/>
        <w:rPr/>
      </w:pPr>
      <w:r>
        <w:rPr/>
        <w:t>ARTICLE 14</w:t>
        <w:br/>
        <w:t>ASSIGNMENT</w:t>
      </w:r>
    </w:p>
    <w:p>
      <w:pPr>
        <w:pStyle w:val="Normal"/>
        <w:spacing w:before="120" w:after="0"/>
        <w:ind w:firstLine="720" w:end="0"/>
        <w:jc w:val="both"/>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Neither Party shall assign or transfer, in whole or in part, this Agreement without the written consent of the other Party.</w:t>
      </w:r>
    </w:p>
    <w:p>
      <w:pPr>
        <w:pStyle w:val="Heading1"/>
        <w:spacing w:before="120" w:after="0"/>
        <w:ind w:hanging="0" w:start="0"/>
        <w:rPr/>
      </w:pPr>
      <w:r>
        <w:rPr/>
        <w:t>ARTICLE 15</w:t>
        <w:br/>
        <w:t>CONFIDENTIALITY</w:t>
      </w:r>
    </w:p>
    <w:p>
      <w:pPr>
        <w:pStyle w:val="Normal"/>
        <w:spacing w:before="120" w:after="0"/>
        <w:ind w:firstLine="720" w:end="0"/>
        <w:jc w:val="both"/>
        <w:rPr/>
      </w:pPr>
      <w:r>
        <w:rPr/>
        <w:t>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PUC.  At the time this Transaction is filed with the PUC, BUYER shall request that PUC afford confidential treatment to such pricing terms; provided that failure of the PUC to afford confidential treatment of this Agreement and shall not be a basis for either party to seek termination or modification to this Agreement.</w:t>
      </w:r>
    </w:p>
    <w:p>
      <w:pPr>
        <w:pStyle w:val="Heading2"/>
        <w:keepNext w:val="false"/>
        <w:spacing w:before="120" w:after="0"/>
        <w:ind w:hanging="0" w:start="0"/>
        <w:rPr>
          <w:b/>
          <w:u w:val="none"/>
        </w:rPr>
      </w:pPr>
      <w:r>
        <w:rPr>
          <w:b/>
          <w:u w:val="none"/>
        </w:rPr>
        <w:t>ARTICLE 16</w:t>
        <w:br/>
        <w:t>REPRESENTATIONS AND WARRANTIES</w:t>
      </w:r>
    </w:p>
    <w:p>
      <w:pPr>
        <w:pStyle w:val="Normal"/>
        <w:spacing w:before="120" w:after="0"/>
        <w:ind w:firstLine="720" w:end="0"/>
        <w:jc w:val="both"/>
        <w:rPr/>
      </w:pPr>
      <w:r>
        <w:rPr/>
        <w:t xml:space="preserve">As a material inducement to entering into this Agreement, each Party, with respect to itself, represents and warrants to the other Party as follows throughout the Term hereof: </w:t>
      </w:r>
    </w:p>
    <w:p>
      <w:pPr>
        <w:pStyle w:val="Normal"/>
        <w:spacing w:before="120" w:after="0"/>
        <w:ind w:firstLine="720" w:end="0"/>
        <w:jc w:val="both"/>
        <w:rPr/>
      </w:pPr>
      <w:r>
        <w:rPr/>
        <w:t>16.1</w:t>
        <w:tab/>
        <w:t>It is duly organized, validly existing and in good standing under the laws of the jurisdiction of its formation and is qualified to conduct its business in those jurisdictions necessary to perform this Agreement.</w:t>
      </w:r>
    </w:p>
    <w:p>
      <w:pPr>
        <w:pStyle w:val="Normal"/>
        <w:spacing w:before="120" w:after="0"/>
        <w:ind w:firstLine="720" w:end="0"/>
        <w:jc w:val="both"/>
        <w:rPr/>
      </w:pPr>
      <w:r>
        <w:rPr/>
        <w:t>16.2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spacing w:before="120" w:after="0"/>
        <w:ind w:firstLine="720" w:end="0"/>
        <w:jc w:val="both"/>
        <w:rPr/>
      </w:pPr>
      <w:r>
        <w:rPr/>
        <w:t>16.3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spacing w:before="120" w:after="0"/>
        <w:ind w:firstLine="720" w:start="0" w:end="0"/>
        <w:jc w:val="both"/>
        <w:rPr/>
      </w:pPr>
      <w:r>
        <w:rPr/>
        <w:t>16.4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s>
        <w:spacing w:before="120" w:after="0"/>
        <w:ind w:firstLine="720" w:end="0"/>
        <w:jc w:val="both"/>
        <w:rPr/>
      </w:pPr>
      <w:r>
        <w:rPr/>
        <w:t>16.5</w:t>
        <w:tab/>
        <w:t>There are no bankruptcy, insolvency, reorganization, receivership or other proceedings pending or being contemplated by it, or of its knowledge threatened against it.</w:t>
      </w:r>
    </w:p>
    <w:p>
      <w:pPr>
        <w:pStyle w:val="Normal"/>
        <w:spacing w:before="120" w:after="0"/>
        <w:ind w:firstLine="720" w:end="0"/>
        <w:jc w:val="both"/>
        <w:rPr/>
      </w:pPr>
      <w:r>
        <w:rPr/>
        <w:t>16.6</w:t>
        <w:tab/>
        <w:t>There are no suits, proceedings, judgments, rulings or orders by or before any court or any governmental authority that materially adversely affect its ability to perform this Agreement.</w:t>
      </w:r>
    </w:p>
    <w:p>
      <w:pPr>
        <w:pStyle w:val="Normal"/>
        <w:spacing w:before="120" w:after="0"/>
        <w:ind w:firstLine="720" w:end="0"/>
        <w:jc w:val="both"/>
        <w:rPr/>
      </w:pPr>
      <w:r>
        <w:rPr/>
        <w:t>16.7</w:t>
        <w:tab/>
        <w:t xml:space="preserve">SELLER warrants that it has the right to sell the Installed Capability and Energy delivered hereunder and that such Products will be free from all liens and material adverse claims of any kind.  </w:t>
      </w:r>
    </w:p>
    <w:p>
      <w:pPr>
        <w:pStyle w:val="Normal"/>
        <w:spacing w:before="120" w:after="0"/>
        <w:ind w:firstLine="720" w:end="0"/>
        <w:jc w:val="both"/>
        <w:rPr/>
      </w:pPr>
      <w:r>
        <w:rPr/>
        <w:t>16.8</w:t>
        <w:tab/>
        <w:t>SELLER warrants that it is a member of the New England Power Pool.</w:t>
      </w:r>
    </w:p>
    <w:p>
      <w:pPr>
        <w:pStyle w:val="Normal"/>
        <w:spacing w:before="120" w:after="0"/>
        <w:ind w:firstLine="720" w:end="0"/>
        <w:jc w:val="both"/>
        <w:rPr/>
      </w:pPr>
      <w:r>
        <w:rPr/>
        <w:t>16.9</w:t>
        <w:tab/>
        <w:t>BUYER warrants that it is a member of the New England Power Pool</w:t>
      </w:r>
    </w:p>
    <w:p>
      <w:pPr>
        <w:pStyle w:val="Normal"/>
        <w:spacing w:before="120" w:after="0"/>
        <w:ind w:firstLine="720" w:end="0"/>
        <w:jc w:val="both"/>
        <w:rPr/>
      </w:pPr>
      <w:r>
        <w:rPr/>
        <w:t>16.10</w:t>
        <w:tab/>
        <w:t xml:space="preserve">SELLER's Guarantor at the time of executing this Agreement has a credit rating of "BBB+" from the Standard &amp; Poor's ("S&amp;P") credit agency. </w:t>
      </w:r>
    </w:p>
    <w:p>
      <w:pPr>
        <w:pStyle w:val="Heading1"/>
        <w:spacing w:before="120" w:after="0"/>
        <w:ind w:hanging="0" w:start="0"/>
        <w:rPr/>
      </w:pPr>
      <w:r>
        <w:rPr/>
        <w:t>ARTICLE 17</w:t>
        <w:br/>
        <w:t>CREDIT GUARANTY</w:t>
      </w:r>
    </w:p>
    <w:p>
      <w:pPr>
        <w:pStyle w:val="Normal"/>
        <w:spacing w:before="120" w:after="0"/>
        <w:ind w:firstLine="720" w:end="0"/>
        <w:jc w:val="both"/>
        <w:rPr/>
      </w:pPr>
      <w:r>
        <w:rPr/>
        <w:t>17.1</w:t>
        <w:tab/>
      </w:r>
      <w:r>
        <w:rPr>
          <w:u w:val="single"/>
        </w:rPr>
        <w:t>SELLER's Creditworthiness</w:t>
      </w:r>
      <w:r>
        <w:rPr/>
        <w:t>.  SELLER shall cause Enron Corp. to provide a guaranty, substantially in the form attached, to BUYER on behalf of SELLER in the amount of $XXXXXXXX.  If Enron Corp. is rated "BBB-" or above by S&amp;P, then additional security will not be necessary. If Enron Corp.'s credit rating from S&amp;P falls below "BBB-", then BUYER has the right to request additional credit support in a reasonable amount which shall take the form of (i) a Letter of Credit, or (ii) cash,   SELLER shall have the right to select the form of credit support.</w:t>
      </w:r>
    </w:p>
    <w:p>
      <w:pPr>
        <w:pStyle w:val="Normal"/>
        <w:spacing w:before="120" w:after="0"/>
        <w:ind w:firstLine="720" w:end="0"/>
        <w:jc w:val="both"/>
        <w:rPr/>
      </w:pPr>
      <w:r>
        <w:rPr/>
        <w:t>17.2</w:t>
        <w:tab/>
      </w:r>
      <w:r>
        <w:rPr>
          <w:u w:val="single"/>
        </w:rPr>
        <w:t>BUYER's Creditworthiness</w:t>
      </w:r>
      <w:r>
        <w:rPr/>
        <w:t>.  BUYER shall be required to provide SELLER a Letter of Credit in the amount of [$______________].</w:t>
      </w:r>
    </w:p>
    <w:p>
      <w:pPr>
        <w:pStyle w:val="Normal"/>
        <w:spacing w:before="120" w:after="0"/>
        <w:ind w:firstLine="720" w:end="0"/>
        <w:jc w:val="both"/>
        <w:rPr/>
      </w:pPr>
      <w:r>
        <w:rPr/>
        <w:t>17.3</w:t>
        <w:tab/>
      </w:r>
      <w:r>
        <w:rPr>
          <w:u w:val="single"/>
        </w:rPr>
        <w:t>Letter of Credit</w:t>
      </w:r>
      <w:r>
        <w:rPr/>
        <w:t>.  "Letter of Credit" shall mean one or more irrevocable, transferable standby letters of credit from a major U.S. commercial bank or a foreign bank with a U.S. branch office, with such bank having a credit rating of at least "A-" from S&amp;P or "A3" from Moody’s, in form acceptable to the Party in whose favor the Letter of Credit is issued.</w:t>
      </w:r>
    </w:p>
    <w:p>
      <w:pPr>
        <w:pStyle w:val="Heading1"/>
        <w:spacing w:before="120" w:after="0"/>
        <w:ind w:hanging="0" w:start="0"/>
        <w:rPr/>
      </w:pPr>
      <w:r>
        <w:rPr/>
        <w:t>ARTICLE 18</w:t>
        <w:br/>
        <w:t>GENERAL PROVISIONS</w:t>
      </w:r>
    </w:p>
    <w:p>
      <w:pPr>
        <w:pStyle w:val="Normal"/>
        <w:spacing w:before="120" w:after="0"/>
        <w:ind w:firstLine="720" w:end="0"/>
        <w:jc w:val="both"/>
        <w:rPr/>
      </w:pPr>
      <w:r>
        <w:rPr/>
        <w:t>18.1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Date"/>
        <w:spacing w:before="120" w:after="0"/>
        <w:ind w:firstLine="720" w:end="0"/>
        <w:jc w:val="both"/>
        <w:rPr/>
      </w:pPr>
      <w:r>
        <w:rPr/>
        <w:t>18.2</w:t>
        <w:tab/>
      </w:r>
      <w:r>
        <w:rPr>
          <w:u w:val="single"/>
        </w:rPr>
        <w:t>Notices.</w:t>
      </w:r>
      <w:r>
        <w:rPr/>
        <w:t xml:space="preserve">  Any notice, demand, or request required or authorized under this Agreement shall be deemed proper if mailed postage prepaid or faxed to the person designated in this Agreement or to other such person(s) as may be designated in writing from time to time by the recipient Party.</w:t>
      </w:r>
    </w:p>
    <w:p>
      <w:pPr>
        <w:pStyle w:val="Normal"/>
        <w:keepNext w:val="true"/>
        <w:spacing w:before="120" w:after="0"/>
        <w:ind w:start="1440" w:end="0"/>
        <w:jc w:val="both"/>
        <w:rPr/>
      </w:pPr>
      <w:r>
        <w:rPr/>
        <w:t>Notices to BUYER shall be sent to:</w:t>
      </w:r>
    </w:p>
    <w:p>
      <w:pPr>
        <w:pStyle w:val="Normal"/>
        <w:keepNext w:val="true"/>
        <w:spacing w:before="120" w:after="0"/>
        <w:ind w:start="2160" w:end="0"/>
        <w:jc w:val="both"/>
        <w:rPr/>
      </w:pPr>
      <w:r>
        <w:rPr/>
        <w:t>Stephen Kaminski</w:t>
      </w:r>
    </w:p>
    <w:p>
      <w:pPr>
        <w:pStyle w:val="Normal"/>
        <w:keepNext w:val="true"/>
        <w:ind w:start="2160" w:end="0"/>
        <w:jc w:val="both"/>
        <w:rPr/>
      </w:pPr>
      <w:r>
        <w:rPr/>
        <w:t>New Hampshire Electric Cooperative, Inc.</w:t>
      </w:r>
    </w:p>
    <w:p>
      <w:pPr>
        <w:pStyle w:val="Normal"/>
        <w:keepNext w:val="true"/>
        <w:ind w:start="2160" w:end="0"/>
        <w:jc w:val="both"/>
        <w:rPr/>
      </w:pPr>
      <w:r>
        <w:rPr/>
        <w:t>579 Tenney Mountain Highway</w:t>
      </w:r>
    </w:p>
    <w:p>
      <w:pPr>
        <w:pStyle w:val="Normal"/>
        <w:keepNext w:val="true"/>
        <w:ind w:start="2160" w:end="0"/>
        <w:jc w:val="both"/>
        <w:rPr/>
      </w:pPr>
      <w:r>
        <w:rPr/>
        <w:t>Plymouth, NH 03264-3154</w:t>
      </w:r>
    </w:p>
    <w:p>
      <w:pPr>
        <w:pStyle w:val="Normal"/>
        <w:keepNext w:val="true"/>
        <w:ind w:start="2160" w:end="0"/>
        <w:jc w:val="both"/>
        <w:rPr/>
      </w:pPr>
      <w:r>
        <w:rPr/>
        <w:t>603-536-8655 (phone)</w:t>
      </w:r>
    </w:p>
    <w:p>
      <w:pPr>
        <w:pStyle w:val="Normal"/>
        <w:ind w:start="2160" w:end="0"/>
        <w:jc w:val="both"/>
        <w:rPr/>
      </w:pPr>
      <w:r>
        <w:rPr/>
        <w:t>603-536-8682 (fax)</w:t>
      </w:r>
    </w:p>
    <w:p>
      <w:pPr>
        <w:pStyle w:val="Normal"/>
        <w:spacing w:before="120" w:after="0"/>
        <w:ind w:start="1440" w:end="0"/>
        <w:jc w:val="both"/>
        <w:rPr/>
      </w:pPr>
      <w:r>
        <w:rPr/>
        <w:t>Notices to SELLER shall be sent to:</w:t>
      </w:r>
    </w:p>
    <w:p>
      <w:pPr>
        <w:pStyle w:val="Heading4"/>
        <w:rPr/>
      </w:pPr>
      <w:r>
        <w:rPr/>
        <w:t>John C. Llodra</w:t>
      </w:r>
    </w:p>
    <w:p>
      <w:pPr>
        <w:pStyle w:val="Normal"/>
        <w:keepNext w:val="true"/>
        <w:ind w:start="2160" w:end="0"/>
        <w:rPr/>
      </w:pPr>
      <w:r>
        <w:rPr/>
        <w:t>Manager, East Power Trading</w:t>
      </w:r>
    </w:p>
    <w:p>
      <w:pPr>
        <w:pStyle w:val="Normal"/>
        <w:keepNext w:val="true"/>
        <w:ind w:start="2160" w:end="0"/>
        <w:rPr/>
      </w:pPr>
      <w:r>
        <w:rPr/>
        <w:t>Enron Power Marketing, Inc.</w:t>
      </w:r>
    </w:p>
    <w:p>
      <w:pPr>
        <w:pStyle w:val="Normal"/>
        <w:keepNext w:val="true"/>
        <w:ind w:start="2160" w:end="0"/>
        <w:rPr/>
      </w:pPr>
      <w:r>
        <w:rPr/>
        <w:t>82 Smith Street</w:t>
      </w:r>
    </w:p>
    <w:p>
      <w:pPr>
        <w:pStyle w:val="Normal"/>
        <w:keepNext w:val="true"/>
        <w:ind w:start="2160" w:end="0"/>
        <w:rPr/>
      </w:pPr>
      <w:r>
        <w:rPr/>
        <w:t>Groton, MA  01450</w:t>
      </w:r>
    </w:p>
    <w:p>
      <w:pPr>
        <w:pStyle w:val="Normal"/>
        <w:keepNext w:val="true"/>
        <w:ind w:start="2160" w:end="0"/>
        <w:rPr/>
      </w:pPr>
      <w:r>
        <w:rPr/>
        <w:t>978-449-9936 (phone)</w:t>
      </w:r>
    </w:p>
    <w:p>
      <w:pPr>
        <w:pStyle w:val="Normal"/>
        <w:ind w:start="2160" w:end="0"/>
        <w:rPr/>
      </w:pPr>
      <w:r>
        <w:rPr/>
        <w:t>978-449-9937 (fax)</w:t>
      </w:r>
    </w:p>
    <w:p>
      <w:pPr>
        <w:pStyle w:val="BodyText2"/>
        <w:keepNext w:val="true"/>
        <w:spacing w:before="120" w:after="0"/>
        <w:ind w:start="1440" w:end="0"/>
        <w:rPr>
          <w:b w:val="false"/>
        </w:rPr>
      </w:pPr>
      <w:r>
        <w:rPr>
          <w:b w:val="false"/>
        </w:rPr>
        <w:t>with a copy to:</w:t>
      </w:r>
    </w:p>
    <w:p>
      <w:pPr>
        <w:pStyle w:val="BodyText2"/>
        <w:keepNext w:val="true"/>
        <w:spacing w:before="120" w:after="0"/>
        <w:ind w:start="2160" w:end="0"/>
        <w:rPr>
          <w:b w:val="false"/>
        </w:rPr>
      </w:pPr>
      <w:r>
        <w:rPr>
          <w:b w:val="false"/>
        </w:rPr>
        <w:t>Enron Power Marketing, Inc.</w:t>
      </w:r>
    </w:p>
    <w:p>
      <w:pPr>
        <w:pStyle w:val="BodyText2"/>
        <w:keepNext w:val="true"/>
        <w:ind w:start="2160" w:end="0"/>
        <w:rPr>
          <w:b w:val="false"/>
        </w:rPr>
      </w:pPr>
      <w:r>
        <w:rPr>
          <w:b w:val="false"/>
        </w:rPr>
        <w:t>P.O. Box 4428</w:t>
      </w:r>
    </w:p>
    <w:p>
      <w:pPr>
        <w:pStyle w:val="BodyText2"/>
        <w:keepNext w:val="true"/>
        <w:ind w:start="2160" w:end="0"/>
        <w:rPr>
          <w:b w:val="false"/>
        </w:rPr>
      </w:pPr>
      <w:r>
        <w:rPr>
          <w:b w:val="false"/>
        </w:rPr>
        <w:t>Houston, Texas  77210-4428</w:t>
      </w:r>
    </w:p>
    <w:p>
      <w:pPr>
        <w:pStyle w:val="BodyText2"/>
        <w:keepNext w:val="true"/>
        <w:ind w:start="2160" w:end="0"/>
        <w:rPr>
          <w:b w:val="false"/>
        </w:rPr>
      </w:pPr>
      <w:r>
        <w:rPr>
          <w:b w:val="false"/>
        </w:rPr>
        <w:t>Attn:  Power Contract Documentation Manager</w:t>
      </w:r>
    </w:p>
    <w:p>
      <w:pPr>
        <w:pStyle w:val="Normal"/>
        <w:ind w:start="2160" w:end="0"/>
        <w:jc w:val="both"/>
        <w:rPr/>
      </w:pPr>
      <w:r>
        <w:rPr/>
        <w:t>713-646-2443 (fax)</w:t>
      </w:r>
    </w:p>
    <w:p>
      <w:pPr>
        <w:pStyle w:val="Normal"/>
        <w:spacing w:before="120" w:after="0"/>
        <w:ind w:firstLine="720" w:end="0"/>
        <w:jc w:val="both"/>
        <w:rPr/>
      </w:pPr>
      <w:r>
        <w:rPr/>
        <w:t>18.3</w:t>
        <w:tab/>
      </w:r>
      <w:r>
        <w:rPr>
          <w:u w:val="single"/>
        </w:rPr>
        <w:t>Governing Law/Arbitration.</w:t>
      </w:r>
      <w:r>
        <w:rPr/>
        <w:t xml:space="preserve">  All disputes arising out of the performance or non-performance under this Agreement shall be construed in accordance with the laws of the State of New Hampshire, notwithstanding any laws requiring the application of the laws of another state.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__________.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spacing w:before="120" w:after="0"/>
        <w:ind w:firstLine="720" w:end="0"/>
        <w:jc w:val="both"/>
        <w:rPr/>
      </w:pPr>
      <w:r>
        <w:rPr/>
        <w:t>18.4</w:t>
        <w:tab/>
      </w:r>
      <w:r>
        <w:rPr>
          <w:u w:val="single"/>
        </w:rPr>
        <w:t>Indemnification.</w:t>
      </w:r>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 in any manner directly or indirectly arising out of or resulting from, connected with or growing out of the performance or non-performance of this Agreement.</w:t>
      </w:r>
    </w:p>
    <w:p>
      <w:pPr>
        <w:pStyle w:val="Normal"/>
        <w:spacing w:before="120" w:after="0"/>
        <w:ind w:firstLine="720" w:end="0"/>
        <w:jc w:val="both"/>
        <w:rPr/>
      </w:pPr>
      <w:r>
        <w:rPr/>
        <w:t>18.5</w:t>
        <w:tab/>
      </w:r>
      <w:r>
        <w:rPr>
          <w:u w:val="single"/>
        </w:rPr>
        <w:t>Netting/Setoff</w:t>
      </w:r>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All outstanding obligations to make payment in connection with this Agreement or any other agreement between the Parties may be offset against each other, set off or recouped therefrom.</w:t>
      </w:r>
    </w:p>
    <w:p>
      <w:pPr>
        <w:pStyle w:val="Normal"/>
        <w:spacing w:before="120" w:after="0"/>
        <w:ind w:firstLine="720" w:end="0"/>
        <w:jc w:val="both"/>
        <w:rPr/>
      </w:pPr>
      <w:r>
        <w:rPr/>
        <w:t>18.6</w:t>
        <w:tab/>
      </w:r>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spacing w:before="120" w:after="0"/>
        <w:ind w:firstLine="720" w:end="0"/>
        <w:jc w:val="both"/>
        <w:rPr/>
      </w:pPr>
      <w:r>
        <w:rPr/>
        <w:t>18.7</w:t>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spacing w:before="120" w:after="0"/>
        <w:ind w:firstLine="720" w:end="0"/>
        <w:jc w:val="both"/>
        <w:rPr/>
      </w:pPr>
      <w:r>
        <w:rPr/>
        <w:t>18.8</w:t>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spacing w:before="120" w:after="0"/>
        <w:ind w:firstLine="720" w:end="0"/>
        <w:jc w:val="both"/>
        <w:rPr/>
      </w:pPr>
      <w:r>
        <w:rPr/>
        <w:t>18.9</w:t>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spacing w:before="120" w:after="0"/>
        <w:ind w:firstLine="720" w:end="0"/>
        <w:jc w:val="both"/>
        <w:rPr/>
      </w:pPr>
      <w:r>
        <w:rPr/>
        <w:t>18.10</w:t>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spacing w:before="120" w:after="0"/>
        <w:ind w:firstLine="720" w:end="0"/>
        <w:jc w:val="both"/>
        <w:rPr/>
      </w:pPr>
      <w:r>
        <w:rPr/>
        <w:t>18.11</w:t>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spacing w:before="120" w:after="0"/>
        <w:ind w:firstLine="720" w:end="0"/>
        <w:jc w:val="both"/>
        <w:rPr/>
      </w:pPr>
      <w:r>
        <w:rPr/>
        <w:t>18.12</w:t>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spacing w:before="120" w:after="0"/>
        <w:ind w:firstLine="720" w:end="0"/>
        <w:jc w:val="both"/>
        <w:rPr/>
      </w:pPr>
      <w:r>
        <w:rPr/>
        <w:t>18.13</w:t>
        <w:tab/>
      </w:r>
      <w:r>
        <w:rPr>
          <w:u w:val="single"/>
        </w:rPr>
        <w:t>Audit.</w:t>
      </w:r>
      <w:r>
        <w:rPr/>
        <w:t xml:space="preserve">  Each Party or any third party representative of a Party shall have the right, at its sole expense, to examine the records of the other Party relating to performance under this Agreement during normal business hours upon reasonable notice.</w:t>
      </w:r>
    </w:p>
    <w:p>
      <w:pPr>
        <w:pStyle w:val="Normal"/>
        <w:spacing w:before="120" w:after="0"/>
        <w:ind w:firstLine="720" w:end="0"/>
        <w:jc w:val="both"/>
        <w:rPr/>
      </w:pPr>
      <w:r>
        <w:rPr/>
        <w:t>18.14</w:t>
        <w:tab/>
      </w:r>
      <w:r>
        <w:rPr>
          <w:u w:val="single"/>
        </w:rPr>
        <w:t>Amendment.</w:t>
      </w:r>
      <w:r>
        <w:rPr/>
        <w:t xml:space="preserve">  This Agreement only shall be amended or modified by the mutual written agreement of both SELLER and BUYER.</w:t>
      </w:r>
    </w:p>
    <w:p>
      <w:pPr>
        <w:pStyle w:val="Normal"/>
        <w:spacing w:before="120" w:after="0"/>
        <w:ind w:firstLine="720" w:end="0"/>
        <w:jc w:val="both"/>
        <w:rPr/>
      </w:pPr>
      <w:r>
        <w:rPr/>
        <w:t>18.15</w:t>
        <w:tab/>
      </w:r>
      <w:r>
        <w:rPr>
          <w:u w:val="single"/>
        </w:rPr>
        <w:t>Counterparts.</w:t>
      </w:r>
      <w:r>
        <w:rPr/>
        <w:t xml:space="preserve">  This Agreement may be executed in any number of counterparts, each of which shall be an original, but all of which together shall constitute one instrument.</w:t>
      </w:r>
    </w:p>
    <w:p>
      <w:pPr>
        <w:pStyle w:val="Normal"/>
        <w:keepNext w:val="true"/>
        <w:spacing w:before="120" w:after="0"/>
        <w:ind w:firstLine="720" w:end="0"/>
        <w:jc w:val="both"/>
        <w:rPr/>
      </w:pPr>
      <w:r>
        <w:rPr/>
        <w:t>Agreed to as of the date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before="240" w:after="0"/>
              <w:jc w:val="both"/>
              <w:rPr>
                <w:b/>
                <w:smallCaps/>
              </w:rPr>
            </w:pPr>
            <w:r>
              <w:rPr>
                <w:b/>
                <w:smallCaps/>
              </w:rPr>
              <w:t>Enron Power Marketing, Inc.</w:t>
            </w:r>
          </w:p>
        </w:tc>
        <w:tc>
          <w:tcPr>
            <w:tcW w:w="4788" w:type="dxa"/>
            <w:tcBorders/>
          </w:tcPr>
          <w:p>
            <w:pPr>
              <w:pStyle w:val="Normal"/>
              <w:spacing w:before="240" w:after="0"/>
              <w:jc w:val="both"/>
              <w:rPr>
                <w:b/>
                <w:smallCaps/>
              </w:rPr>
            </w:pPr>
            <w:r>
              <w:rPr>
                <w:b/>
                <w:smallCaps/>
              </w:rPr>
              <w:t>New Hampshire Electric Cooperative, Inc.</w:t>
            </w:r>
          </w:p>
        </w:tc>
      </w:tr>
      <w:tr>
        <w:trPr/>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10" w:leader="none"/>
              </w:tabs>
              <w:spacing w:before="120" w:after="0"/>
              <w:jc w:val="both"/>
              <w:rPr/>
            </w:pPr>
            <w:r>
              <w:rPr/>
            </w:r>
          </w:p>
        </w:tc>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82" w:leader="none"/>
              </w:tabs>
              <w:spacing w:before="120" w:after="0"/>
              <w:jc w:val="both"/>
              <w:rPr/>
            </w:pPr>
            <w:r>
              <w:rPr/>
            </w:r>
          </w:p>
        </w:tc>
      </w:tr>
    </w:tbl>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spacing w:before="120" w:after="0"/>
        <w:jc w:val="center"/>
        <w:rPr/>
      </w:pPr>
      <w:r>
        <w:rPr/>
      </w:r>
    </w:p>
    <w:p>
      <w:pPr>
        <w:pStyle w:val="Normal"/>
        <w:spacing w:before="120" w:after="0"/>
        <w:jc w:val="center"/>
        <w:rPr>
          <w:b/>
        </w:rPr>
      </w:pPr>
      <w:r>
        <w:rPr>
          <w:b/>
        </w:rPr>
        <w:t>APPENDIX A</w:t>
      </w:r>
      <w:r>
        <mc:AlternateContent>
          <mc:Choice Requires="wps">
            <w:drawing>
              <wp:anchor behindDoc="0" distT="0" distB="0" distL="114935" distR="114935" simplePos="0" locked="0" layoutInCell="1" allowOverlap="1" relativeHeight="30">
                <wp:simplePos x="0" y="0"/>
                <wp:positionH relativeFrom="column">
                  <wp:posOffset>-640080</wp:posOffset>
                </wp:positionH>
                <wp:positionV relativeFrom="paragraph">
                  <wp:posOffset>-548640</wp:posOffset>
                </wp:positionV>
                <wp:extent cx="1645920" cy="640080"/>
                <wp:effectExtent l="0" t="0" r="0" b="0"/>
                <wp:wrapNone/>
                <wp:docPr id="3" name="Frame1"/>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r>
                              <w:rPr>
                                <w:b/>
                                <w:smallCaps/>
                              </w:rPr>
                              <w:t>Not an Offer; Indicative Amounts and Pricing Only</w:t>
                            </w:r>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43.2pt;mso-position-vertical-relative:text;margin-left:-50.4pt;mso-position-horizontal-relative:text">
                <v:fill opacity="0f"/>
                <v:textbox inset="0.100694444444444in,0.0506944444444444in,0.100694444444444in,0.0506944444444444in">
                  <w:txbxContent>
                    <w:p>
                      <w:pPr>
                        <w:pStyle w:val="Normal"/>
                        <w:rPr>
                          <w:b/>
                          <w:smallCaps/>
                        </w:rPr>
                      </w:pPr>
                      <w:r>
                        <w:rPr>
                          <w:b/>
                          <w:smallCaps/>
                        </w:rPr>
                        <w:t>Not an Offer; Indicative Amounts and Pricing Only</w:t>
                      </w:r>
                    </w:p>
                  </w:txbxContent>
                </v:textbox>
                <w10:wrap type="none"/>
              </v:rect>
            </w:pict>
          </mc:Fallback>
        </mc:AlternateContent>
      </w:r>
    </w:p>
    <w:p>
      <w:pPr>
        <w:pStyle w:val="Normal"/>
        <w:spacing w:before="120" w:after="0"/>
        <w:jc w:val="center"/>
        <w:rPr>
          <w:b/>
        </w:rPr>
      </w:pPr>
      <w:r>
        <w:rPr>
          <w:b/>
        </w:rPr>
        <w:t>BASELOAD ENERGY</w:t>
      </w:r>
    </w:p>
    <w:p>
      <w:pPr>
        <w:pStyle w:val="Normal"/>
        <w:spacing w:before="120" w:after="0"/>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1980" w:leader="none"/>
          <w:tab w:val="left" w:pos="3510" w:leader="none"/>
          <w:tab w:val="left" w:pos="5040" w:leader="none"/>
        </w:tabs>
        <w:spacing w:before="120" w:after="0"/>
        <w:ind w:start="720" w:end="0"/>
        <w:jc w:val="both"/>
        <w:rPr>
          <w:b w:val="false"/>
          <w:sz w:val="24"/>
        </w:rPr>
      </w:pPr>
      <w:r>
        <w:rPr>
          <w:b w:val="false"/>
          <w:sz w:val="24"/>
          <w:u w:val="single"/>
        </w:rPr>
        <w:t>Months</w:t>
      </w:r>
      <w:r>
        <w:rPr>
          <w:b w:val="false"/>
          <w:sz w:val="24"/>
        </w:rPr>
        <w:tab/>
        <w:t>Period of Delivery:</w:t>
        <w:tab/>
      </w:r>
      <w:r>
        <w:rPr>
          <w:sz w:val="24"/>
        </w:rPr>
        <w:t>Baseload Period</w:t>
      </w:r>
    </w:p>
    <w:p>
      <w:pPr>
        <w:pStyle w:val="BodyText"/>
        <w:tabs>
          <w:tab w:val="clear" w:pos="720"/>
          <w:tab w:val="left" w:pos="4230" w:leader="none"/>
          <w:tab w:val="left" w:pos="6480" w:leader="none"/>
        </w:tabs>
        <w:ind w:start="720" w:end="0"/>
        <w:jc w:val="both"/>
        <w:rPr>
          <w:b w:val="false"/>
          <w:sz w:val="24"/>
        </w:rPr>
      </w:pPr>
      <w:r>
        <w:rPr>
          <w:b w:val="false"/>
          <w:sz w:val="24"/>
        </w:rPr>
        <w:tab/>
        <w:t>Amount</w:t>
        <w:tab/>
        <w:t>Price</w:t>
        <w:tab/>
        <w:tab/>
      </w:r>
    </w:p>
    <w:p>
      <w:pPr>
        <w:pStyle w:val="BodyText"/>
        <w:tabs>
          <w:tab w:val="clear" w:pos="720"/>
          <w:tab w:val="left" w:pos="4230" w:leader="none"/>
          <w:tab w:val="left" w:pos="6480" w:leader="none"/>
        </w:tabs>
        <w:ind w:start="720" w:end="0"/>
        <w:jc w:val="both"/>
        <w:rPr/>
      </w:pPr>
      <w:r>
        <w:rPr>
          <w:b w:val="false"/>
          <w:sz w:val="24"/>
        </w:rPr>
        <w:tab/>
      </w:r>
      <w:r>
        <w:rPr>
          <w:b w:val="false"/>
          <w:sz w:val="24"/>
          <w:u w:val="single"/>
        </w:rPr>
        <w:t xml:space="preserve">  (kW)  </w:t>
      </w:r>
      <w:r>
        <w:rPr>
          <w:b w:val="false"/>
          <w:sz w:val="24"/>
        </w:rPr>
        <w:tab/>
      </w:r>
      <w:r>
        <w:rPr>
          <w:b w:val="false"/>
          <w:sz w:val="24"/>
          <w:u w:val="single"/>
        </w:rPr>
        <w:t>($/kWh)</w:t>
      </w:r>
      <w:r>
        <w:rPr>
          <w:b w:val="false"/>
          <w:sz w:val="24"/>
        </w:rPr>
        <w:tab/>
      </w:r>
    </w:p>
    <w:p>
      <w:pPr>
        <w:pStyle w:val="BodyText"/>
        <w:tabs>
          <w:tab w:val="clear" w:pos="720"/>
          <w:tab w:val="left" w:pos="4230" w:leader="none"/>
          <w:tab w:val="left" w:pos="6480" w:leader="none"/>
        </w:tabs>
        <w:spacing w:before="120" w:after="0"/>
        <w:ind w:start="720" w:end="0"/>
        <w:jc w:val="both"/>
        <w:rPr>
          <w:b w:val="false"/>
          <w:sz w:val="24"/>
        </w:rPr>
      </w:pPr>
      <w:r>
        <w:rPr>
          <w:b w:val="false"/>
          <w:sz w:val="24"/>
        </w:rPr>
        <w:t>Sep 00</w:t>
        <w:tab/>
        <w:t>47,000</w:t>
        <w:tab/>
        <w:t>30.25</w:t>
        <w:tab/>
      </w:r>
    </w:p>
    <w:p>
      <w:pPr>
        <w:pStyle w:val="BodyText"/>
        <w:tabs>
          <w:tab w:val="clear" w:pos="720"/>
          <w:tab w:val="left" w:pos="4230" w:leader="none"/>
          <w:tab w:val="left" w:pos="6480" w:leader="none"/>
        </w:tabs>
        <w:ind w:start="720" w:end="0"/>
        <w:jc w:val="both"/>
        <w:rPr>
          <w:b w:val="false"/>
          <w:sz w:val="24"/>
        </w:rPr>
      </w:pPr>
      <w:r>
        <w:rPr>
          <w:b w:val="false"/>
          <w:sz w:val="24"/>
        </w:rPr>
        <w:t>Oct 00</w:t>
        <w:tab/>
        <w:t>48,000</w:t>
        <w:tab/>
        <w:t>29.00</w:t>
        <w:tab/>
      </w:r>
    </w:p>
    <w:p>
      <w:pPr>
        <w:pStyle w:val="BodyText"/>
        <w:tabs>
          <w:tab w:val="clear" w:pos="720"/>
          <w:tab w:val="left" w:pos="4230" w:leader="none"/>
          <w:tab w:val="left" w:pos="6480" w:leader="none"/>
        </w:tabs>
        <w:ind w:start="720" w:end="0"/>
        <w:jc w:val="both"/>
        <w:rPr>
          <w:b w:val="false"/>
          <w:sz w:val="24"/>
        </w:rPr>
      </w:pPr>
      <w:r>
        <w:rPr>
          <w:b w:val="false"/>
          <w:sz w:val="24"/>
        </w:rPr>
        <w:t>Nov 00</w:t>
        <w:tab/>
        <w:t>49,000</w:t>
        <w:tab/>
        <w:t>29.00</w:t>
        <w:tab/>
      </w:r>
    </w:p>
    <w:p>
      <w:pPr>
        <w:pStyle w:val="BodyText"/>
        <w:tabs>
          <w:tab w:val="clear" w:pos="720"/>
          <w:tab w:val="left" w:pos="4230" w:leader="none"/>
          <w:tab w:val="left" w:pos="6480" w:leader="none"/>
        </w:tabs>
        <w:ind w:start="720" w:end="0"/>
        <w:jc w:val="both"/>
        <w:rPr>
          <w:b w:val="false"/>
          <w:sz w:val="24"/>
        </w:rPr>
      </w:pPr>
      <w:r>
        <w:rPr>
          <w:b w:val="false"/>
          <w:sz w:val="24"/>
        </w:rPr>
        <w:t>Dec 00</w:t>
        <w:tab/>
        <w:t>61,000</w:t>
        <w:tab/>
        <w:t>29.00</w:t>
      </w:r>
    </w:p>
    <w:p>
      <w:pPr>
        <w:pStyle w:val="BodyText"/>
        <w:tabs>
          <w:tab w:val="clear" w:pos="720"/>
          <w:tab w:val="left" w:pos="4230" w:leader="none"/>
          <w:tab w:val="left" w:pos="6480" w:leader="none"/>
        </w:tabs>
        <w:ind w:start="720" w:end="0"/>
        <w:jc w:val="both"/>
        <w:rPr>
          <w:b w:val="false"/>
          <w:sz w:val="24"/>
        </w:rPr>
      </w:pPr>
      <w:r>
        <w:rPr>
          <w:b w:val="false"/>
          <w:sz w:val="24"/>
        </w:rPr>
        <w:t>Jan 01</w:t>
        <w:tab/>
        <w:t>72,000</w:t>
        <w:tab/>
        <w:t>34.25</w:t>
        <w:tab/>
      </w:r>
    </w:p>
    <w:p>
      <w:pPr>
        <w:pStyle w:val="BodyText"/>
        <w:tabs>
          <w:tab w:val="clear" w:pos="720"/>
          <w:tab w:val="left" w:pos="4230" w:leader="none"/>
          <w:tab w:val="left" w:pos="6480" w:leader="none"/>
        </w:tabs>
        <w:ind w:start="720" w:end="0"/>
        <w:jc w:val="both"/>
        <w:rPr>
          <w:b w:val="false"/>
          <w:sz w:val="24"/>
        </w:rPr>
      </w:pPr>
      <w:r>
        <w:rPr>
          <w:b w:val="false"/>
          <w:sz w:val="24"/>
        </w:rPr>
        <w:t>Feb 01</w:t>
        <w:tab/>
        <w:t>62,000</w:t>
        <w:tab/>
        <w:t>34.25</w:t>
        <w:tab/>
      </w:r>
    </w:p>
    <w:p>
      <w:pPr>
        <w:pStyle w:val="BodyText"/>
        <w:tabs>
          <w:tab w:val="clear" w:pos="720"/>
          <w:tab w:val="left" w:pos="4230" w:leader="none"/>
          <w:tab w:val="left" w:pos="6480" w:leader="none"/>
        </w:tabs>
        <w:ind w:start="720" w:end="0"/>
        <w:jc w:val="both"/>
        <w:rPr>
          <w:b w:val="false"/>
          <w:sz w:val="24"/>
        </w:rPr>
      </w:pPr>
      <w:r>
        <w:rPr>
          <w:b w:val="false"/>
          <w:sz w:val="24"/>
        </w:rPr>
        <w:t>Mar 01</w:t>
        <w:tab/>
        <w:t>55,000</w:t>
        <w:tab/>
        <w:t>28.00</w:t>
        <w:tab/>
      </w:r>
    </w:p>
    <w:p>
      <w:pPr>
        <w:pStyle w:val="BodyText"/>
        <w:tabs>
          <w:tab w:val="clear" w:pos="720"/>
          <w:tab w:val="left" w:pos="4230" w:leader="none"/>
          <w:tab w:val="left" w:pos="6480" w:leader="none"/>
        </w:tabs>
        <w:ind w:start="720" w:end="0"/>
        <w:jc w:val="both"/>
        <w:rPr>
          <w:b w:val="false"/>
          <w:sz w:val="24"/>
        </w:rPr>
      </w:pPr>
      <w:r>
        <w:rPr>
          <w:b w:val="false"/>
          <w:sz w:val="24"/>
        </w:rPr>
        <w:t>Apr 01</w:t>
        <w:tab/>
        <w:t>43,000</w:t>
        <w:tab/>
        <w:t>28.00</w:t>
        <w:tab/>
      </w:r>
    </w:p>
    <w:p>
      <w:pPr>
        <w:pStyle w:val="BodyText"/>
        <w:tabs>
          <w:tab w:val="clear" w:pos="720"/>
          <w:tab w:val="left" w:pos="4230" w:leader="none"/>
          <w:tab w:val="left" w:pos="6480" w:leader="none"/>
        </w:tabs>
        <w:ind w:start="720" w:end="0"/>
        <w:jc w:val="both"/>
        <w:rPr>
          <w:b w:val="false"/>
          <w:sz w:val="24"/>
        </w:rPr>
      </w:pPr>
      <w:r>
        <w:rPr>
          <w:b w:val="false"/>
          <w:sz w:val="24"/>
        </w:rPr>
        <w:t>May 01</w:t>
        <w:tab/>
        <w:t>42,000</w:t>
        <w:tab/>
        <w:t>30.00</w:t>
        <w:tab/>
      </w:r>
    </w:p>
    <w:p>
      <w:pPr>
        <w:pStyle w:val="Normal"/>
        <w:spacing w:before="120" w:after="0"/>
        <w:jc w:val="both"/>
        <w:rPr>
          <w:b/>
          <w:sz w:val="24"/>
        </w:rPr>
      </w:pPr>
      <w:r>
        <w:rPr>
          <w:b/>
          <w:sz w:val="24"/>
        </w:rPr>
      </w:r>
      <w:r>
        <w:br w:type="page"/>
      </w:r>
    </w:p>
    <w:p>
      <w:pPr>
        <w:pStyle w:val="Normal"/>
        <w:spacing w:before="120" w:after="0"/>
        <w:jc w:val="center"/>
        <w:rPr>
          <w:b/>
        </w:rPr>
      </w:pPr>
      <w:r>
        <w:rPr>
          <w:b/>
        </w:rPr>
        <w:t>APPENDIX A</w:t>
      </w:r>
    </w:p>
    <w:p>
      <w:pPr>
        <w:pStyle w:val="Heading1"/>
        <w:spacing w:before="120" w:after="0"/>
        <w:ind w:hanging="0" w:start="0"/>
        <w:rPr/>
      </w:pPr>
      <w:r>
        <w:rPr/>
        <w:t>ON PEAK ENERGY AMOUNT AND CHARGE</w:t>
      </w:r>
      <w:r>
        <mc:AlternateContent>
          <mc:Choice Requires="wps">
            <w:drawing>
              <wp:anchor behindDoc="0" distT="0" distB="0" distL="114935" distR="114935" simplePos="0" locked="0" layoutInCell="1" allowOverlap="1" relativeHeight="31">
                <wp:simplePos x="0" y="0"/>
                <wp:positionH relativeFrom="column">
                  <wp:posOffset>-640080</wp:posOffset>
                </wp:positionH>
                <wp:positionV relativeFrom="paragraph">
                  <wp:posOffset>-899160</wp:posOffset>
                </wp:positionV>
                <wp:extent cx="1645920" cy="640080"/>
                <wp:effectExtent l="0" t="0" r="0" b="0"/>
                <wp:wrapNone/>
                <wp:docPr id="4" name="Frame2"/>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r>
                              <w:rPr>
                                <w:b/>
                                <w:smallCaps/>
                              </w:rPr>
                              <w:t>Not an Offer; Indicative Amounts and Pricing Only</w:t>
                            </w:r>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70.8pt;mso-position-vertical-relative:text;margin-left:-50.4pt;mso-position-horizontal-relative:text">
                <v:fill opacity="0f"/>
                <v:textbox inset="0.100694444444444in,0.0506944444444444in,0.100694444444444in,0.0506944444444444in">
                  <w:txbxContent>
                    <w:p>
                      <w:pPr>
                        <w:pStyle w:val="Normal"/>
                        <w:rPr>
                          <w:b/>
                          <w:smallCaps/>
                        </w:rPr>
                      </w:pPr>
                      <w:r>
                        <w:rPr>
                          <w:b/>
                          <w:smallCaps/>
                        </w:rPr>
                        <w:t>Not an Offer; Indicative Amounts and Pricing Only</w:t>
                      </w:r>
                    </w:p>
                  </w:txbxContent>
                </v:textbox>
                <w10:wrap type="none"/>
              </v:rect>
            </w:pict>
          </mc:Fallback>
        </mc:AlternateContent>
      </w:r>
    </w:p>
    <w:p>
      <w:pPr>
        <w:pStyle w:val="BodyText"/>
        <w:spacing w:before="120" w:after="0"/>
        <w:jc w:val="both"/>
        <w:rPr>
          <w:sz w:val="24"/>
        </w:rPr>
      </w:pPr>
      <w:r>
        <w:rPr>
          <w:sz w:val="24"/>
        </w:rPr>
        <w:t>ENRON</w:t>
      </w:r>
    </w:p>
    <w:p>
      <w:pPr>
        <w:pStyle w:val="BodyText"/>
        <w:tabs>
          <w:tab w:val="clear" w:pos="720"/>
          <w:tab w:val="left" w:pos="2160" w:leader="none"/>
          <w:tab w:val="left" w:pos="3600" w:leader="none"/>
          <w:tab w:val="left" w:pos="5040" w:leader="none"/>
        </w:tabs>
        <w:spacing w:before="120" w:after="0"/>
        <w:ind w:start="720" w:end="0"/>
        <w:jc w:val="both"/>
        <w:rPr/>
      </w:pPr>
      <w:r>
        <w:rPr>
          <w:b w:val="false"/>
          <w:sz w:val="24"/>
          <w:u w:val="single"/>
        </w:rPr>
        <w:t>Months</w:t>
      </w:r>
      <w:r>
        <w:rPr>
          <w:b w:val="false"/>
          <w:sz w:val="24"/>
        </w:rPr>
        <w:tab/>
        <w:t>Period of Delivery:</w:t>
        <w:tab/>
      </w:r>
      <w:r>
        <w:rPr>
          <w:sz w:val="24"/>
        </w:rPr>
        <w:t>On Peak Period</w:t>
      </w:r>
      <w:r>
        <w:rPr>
          <w:b w:val="false"/>
          <w:sz w:val="24"/>
        </w:rPr>
        <w:t xml:space="preserve"> </w:t>
      </w:r>
    </w:p>
    <w:p>
      <w:pPr>
        <w:pStyle w:val="BodyText"/>
        <w:tabs>
          <w:tab w:val="clear" w:pos="720"/>
          <w:tab w:val="left" w:pos="4230" w:leader="none"/>
          <w:tab w:val="left" w:pos="6300" w:leader="none"/>
        </w:tabs>
        <w:ind w:start="720" w:end="0"/>
        <w:jc w:val="both"/>
        <w:rPr>
          <w:b w:val="false"/>
          <w:sz w:val="24"/>
        </w:rPr>
      </w:pPr>
      <w:r>
        <w:rPr>
          <w:b w:val="false"/>
          <w:sz w:val="24"/>
        </w:rPr>
        <w:tab/>
        <w:t>Amount</w:t>
        <w:tab/>
        <w:t>Price</w:t>
        <w:tab/>
      </w:r>
    </w:p>
    <w:p>
      <w:pPr>
        <w:pStyle w:val="BodyText"/>
        <w:tabs>
          <w:tab w:val="clear" w:pos="720"/>
          <w:tab w:val="left" w:pos="4230" w:leader="none"/>
          <w:tab w:val="left" w:pos="6300" w:leader="none"/>
        </w:tabs>
        <w:ind w:start="720" w:end="0"/>
        <w:jc w:val="both"/>
        <w:rPr>
          <w:b w:val="false"/>
          <w:sz w:val="24"/>
        </w:rPr>
      </w:pPr>
      <w:r>
        <w:rPr>
          <w:b w:val="false"/>
          <w:sz w:val="24"/>
        </w:rPr>
        <w:tab/>
      </w:r>
      <w:r>
        <w:rPr>
          <w:b w:val="false"/>
          <w:sz w:val="24"/>
          <w:u w:val="single"/>
        </w:rPr>
        <w:t xml:space="preserve">(kW)  </w:t>
      </w:r>
      <w:r>
        <w:rPr>
          <w:b w:val="false"/>
          <w:sz w:val="24"/>
        </w:rPr>
        <w:tab/>
      </w:r>
      <w:r>
        <w:rPr>
          <w:b w:val="false"/>
          <w:sz w:val="24"/>
          <w:u w:val="single"/>
        </w:rPr>
        <w:t>($/kWh)</w:t>
      </w:r>
    </w:p>
    <w:p>
      <w:pPr>
        <w:pStyle w:val="BodyText"/>
        <w:tabs>
          <w:tab w:val="clear" w:pos="720"/>
          <w:tab w:val="left" w:pos="4230" w:leader="none"/>
          <w:tab w:val="left" w:pos="6300" w:leader="none"/>
        </w:tabs>
        <w:spacing w:before="120" w:after="0"/>
        <w:ind w:start="720" w:end="0"/>
        <w:jc w:val="both"/>
        <w:rPr>
          <w:b w:val="false"/>
          <w:sz w:val="24"/>
        </w:rPr>
      </w:pPr>
      <w:r>
        <w:rPr>
          <w:b w:val="false"/>
          <w:sz w:val="24"/>
        </w:rPr>
        <w:t>Sep 00</w:t>
        <w:tab/>
        <w:t>19,000</w:t>
        <w:tab/>
        <w:t>37.40</w:t>
        <w:tab/>
      </w:r>
    </w:p>
    <w:p>
      <w:pPr>
        <w:pStyle w:val="BodyText"/>
        <w:tabs>
          <w:tab w:val="clear" w:pos="720"/>
          <w:tab w:val="left" w:pos="4230" w:leader="none"/>
          <w:tab w:val="left" w:pos="6300" w:leader="none"/>
        </w:tabs>
        <w:ind w:start="720" w:end="0"/>
        <w:jc w:val="both"/>
        <w:rPr>
          <w:b w:val="false"/>
          <w:sz w:val="24"/>
        </w:rPr>
      </w:pPr>
      <w:r>
        <w:rPr>
          <w:b w:val="false"/>
          <w:sz w:val="24"/>
        </w:rPr>
        <w:t>Oct 00</w:t>
        <w:tab/>
        <w:t>16,000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Nov 00</w:t>
        <w:tab/>
        <w:t>18,000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Dec 00</w:t>
        <w:tab/>
        <w:t>20,000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Jan 01</w:t>
        <w:tab/>
        <w:t>15,000</w:t>
        <w:tab/>
        <w:t>43.40</w:t>
        <w:tab/>
        <w:tab/>
      </w:r>
    </w:p>
    <w:p>
      <w:pPr>
        <w:pStyle w:val="BodyText"/>
        <w:tabs>
          <w:tab w:val="clear" w:pos="720"/>
          <w:tab w:val="left" w:pos="4230" w:leader="none"/>
          <w:tab w:val="left" w:pos="6300" w:leader="none"/>
        </w:tabs>
        <w:ind w:start="720" w:end="0"/>
        <w:jc w:val="both"/>
        <w:rPr>
          <w:b w:val="false"/>
          <w:sz w:val="24"/>
        </w:rPr>
      </w:pPr>
      <w:r>
        <w:rPr>
          <w:b w:val="false"/>
          <w:sz w:val="24"/>
        </w:rPr>
        <w:t>Feb 01</w:t>
        <w:tab/>
        <w:t>15,000</w:t>
        <w:tab/>
        <w:t>43.40</w:t>
        <w:tab/>
        <w:tab/>
      </w:r>
    </w:p>
    <w:p>
      <w:pPr>
        <w:pStyle w:val="BodyText"/>
        <w:tabs>
          <w:tab w:val="clear" w:pos="720"/>
          <w:tab w:val="left" w:pos="4230" w:leader="none"/>
          <w:tab w:val="left" w:pos="6300" w:leader="none"/>
        </w:tabs>
        <w:ind w:start="720" w:end="0"/>
        <w:jc w:val="both"/>
        <w:rPr>
          <w:b w:val="false"/>
          <w:sz w:val="24"/>
        </w:rPr>
      </w:pPr>
      <w:r>
        <w:rPr>
          <w:b w:val="false"/>
          <w:sz w:val="24"/>
        </w:rPr>
        <w:t>Mar 01</w:t>
        <w:tab/>
        <w:t>14,000</w:t>
        <w:tab/>
        <w:t>34.00</w:t>
        <w:tab/>
        <w:tab/>
      </w:r>
    </w:p>
    <w:p>
      <w:pPr>
        <w:pStyle w:val="BodyText"/>
        <w:tabs>
          <w:tab w:val="clear" w:pos="720"/>
          <w:tab w:val="left" w:pos="4230" w:leader="none"/>
          <w:tab w:val="left" w:pos="6300" w:leader="none"/>
        </w:tabs>
        <w:ind w:start="720" w:end="0"/>
        <w:jc w:val="both"/>
        <w:rPr>
          <w:b w:val="false"/>
          <w:sz w:val="24"/>
        </w:rPr>
      </w:pPr>
      <w:r>
        <w:rPr>
          <w:b w:val="false"/>
          <w:sz w:val="24"/>
        </w:rPr>
        <w:t>Apr 01</w:t>
        <w:tab/>
        <w:t>_____</w:t>
        <w:tab/>
        <w:t>____</w:t>
      </w:r>
    </w:p>
    <w:p>
      <w:pPr>
        <w:pStyle w:val="BodyText"/>
        <w:tabs>
          <w:tab w:val="clear" w:pos="720"/>
          <w:tab w:val="left" w:pos="4230" w:leader="none"/>
          <w:tab w:val="left" w:pos="6300" w:leader="none"/>
        </w:tabs>
        <w:ind w:start="720" w:end="0"/>
        <w:jc w:val="both"/>
        <w:rPr>
          <w:b w:val="false"/>
          <w:sz w:val="24"/>
        </w:rPr>
      </w:pPr>
      <w:r>
        <w:rPr>
          <w:b w:val="false"/>
          <w:sz w:val="24"/>
        </w:rPr>
        <w:t>May 01</w:t>
        <w:tab/>
        <w:t>13,000</w:t>
        <w:tab/>
        <w:t>38.00</w:t>
        <w:tab/>
        <w:tab/>
      </w:r>
      <w:r>
        <w:br w:type="page"/>
      </w:r>
    </w:p>
    <w:p>
      <w:pPr>
        <w:pStyle w:val="Normal"/>
        <w:spacing w:before="120" w:after="0"/>
        <w:jc w:val="center"/>
        <w:rPr>
          <w:b/>
        </w:rPr>
      </w:pPr>
      <w:r>
        <w:rPr>
          <w:b/>
        </w:rPr>
        <w:t>APPENDIX A</w:t>
      </w:r>
    </w:p>
    <w:p>
      <w:pPr>
        <w:pStyle w:val="Normal"/>
        <w:jc w:val="center"/>
        <w:rPr>
          <w:b/>
        </w:rPr>
      </w:pPr>
      <w:r>
        <w:rPr>
          <w:b/>
        </w:rPr>
        <w:t>INSTALLED CAPABILITY</w:t>
      </w:r>
      <w:r>
        <mc:AlternateContent>
          <mc:Choice Requires="wps">
            <w:drawing>
              <wp:anchor behindDoc="0" distT="0" distB="0" distL="114935" distR="114935" simplePos="0" locked="0" layoutInCell="1" allowOverlap="1" relativeHeight="32">
                <wp:simplePos x="0" y="0"/>
                <wp:positionH relativeFrom="column">
                  <wp:posOffset>-548640</wp:posOffset>
                </wp:positionH>
                <wp:positionV relativeFrom="paragraph">
                  <wp:posOffset>-899160</wp:posOffset>
                </wp:positionV>
                <wp:extent cx="1645920" cy="640080"/>
                <wp:effectExtent l="0" t="0" r="0" b="0"/>
                <wp:wrapNone/>
                <wp:docPr id="5" name="Frame3"/>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r>
                              <w:rPr>
                                <w:b/>
                                <w:smallCaps/>
                              </w:rPr>
                              <w:t>Not an Offer; Indicative Amounts and Pricing Only</w:t>
                            </w:r>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70.8pt;mso-position-vertical-relative:text;margin-left:-43.2pt;mso-position-horizontal-relative:text">
                <v:fill opacity="0f"/>
                <v:textbox inset="0.100694444444444in,0.0506944444444444in,0.100694444444444in,0.0506944444444444in">
                  <w:txbxContent>
                    <w:p>
                      <w:pPr>
                        <w:pStyle w:val="Normal"/>
                        <w:rPr>
                          <w:b/>
                          <w:smallCaps/>
                        </w:rPr>
                      </w:pPr>
                      <w:r>
                        <w:rPr>
                          <w:b/>
                          <w:smallCaps/>
                        </w:rPr>
                        <w:t>Not an Offer; Indicative Amounts and Pricing Only</w:t>
                      </w:r>
                    </w:p>
                  </w:txbxContent>
                </v:textbox>
                <w10:wrap type="none"/>
              </v:rect>
            </w:pict>
          </mc:Fallback>
        </mc:AlternateContent>
      </w:r>
    </w:p>
    <w:p>
      <w:pPr>
        <w:pStyle w:val="Normal"/>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2520" w:leader="none"/>
          <w:tab w:val="left" w:pos="3780" w:leader="none"/>
          <w:tab w:val="left" w:pos="5040" w:leader="none"/>
        </w:tabs>
        <w:spacing w:before="120" w:after="0"/>
        <w:ind w:start="720" w:end="0"/>
        <w:jc w:val="both"/>
        <w:rPr>
          <w:b w:val="false"/>
          <w:sz w:val="24"/>
        </w:rPr>
      </w:pPr>
      <w:r>
        <w:rPr>
          <w:b w:val="false"/>
          <w:sz w:val="24"/>
          <w:u w:val="single"/>
        </w:rPr>
        <w:t>Months</w:t>
      </w:r>
      <w:r>
        <w:rPr>
          <w:b w:val="false"/>
          <w:sz w:val="24"/>
        </w:rPr>
        <w:tab/>
      </w:r>
      <w:r>
        <w:rPr>
          <w:sz w:val="24"/>
        </w:rPr>
        <w:t>INSTALLED CAPABILITY (ICAP)</w:t>
      </w:r>
    </w:p>
    <w:p>
      <w:pPr>
        <w:pStyle w:val="BodyText"/>
        <w:tabs>
          <w:tab w:val="clear" w:pos="720"/>
          <w:tab w:val="left" w:pos="2880" w:leader="none"/>
          <w:tab w:val="left" w:pos="5040" w:leader="none"/>
        </w:tabs>
        <w:ind w:start="720" w:end="0"/>
        <w:jc w:val="both"/>
        <w:rPr>
          <w:b w:val="false"/>
          <w:sz w:val="24"/>
        </w:rPr>
      </w:pPr>
      <w:r>
        <w:rPr>
          <w:b w:val="false"/>
          <w:sz w:val="24"/>
        </w:rPr>
        <w:tab/>
        <w:t>Amount</w:t>
        <w:tab/>
        <w:t>Price</w:t>
      </w:r>
    </w:p>
    <w:p>
      <w:pPr>
        <w:pStyle w:val="BodyText"/>
        <w:tabs>
          <w:tab w:val="clear" w:pos="720"/>
          <w:tab w:val="left" w:pos="2880" w:leader="none"/>
          <w:tab w:val="left" w:pos="5040" w:leader="none"/>
        </w:tabs>
        <w:ind w:start="720" w:end="0"/>
        <w:jc w:val="both"/>
        <w:rPr>
          <w:b w:val="false"/>
          <w:sz w:val="24"/>
        </w:rPr>
      </w:pPr>
      <w:r>
        <w:rPr>
          <w:b w:val="false"/>
          <w:sz w:val="24"/>
        </w:rPr>
        <w:tab/>
      </w:r>
      <w:r>
        <w:rPr>
          <w:b w:val="false"/>
          <w:sz w:val="24"/>
          <w:u w:val="single"/>
        </w:rPr>
        <w:t xml:space="preserve"> (kW) </w:t>
      </w:r>
      <w:r>
        <w:rPr>
          <w:b w:val="false"/>
          <w:sz w:val="24"/>
        </w:rPr>
        <w:tab/>
      </w:r>
      <w:r>
        <w:rPr>
          <w:b w:val="false"/>
          <w:sz w:val="24"/>
          <w:u w:val="single"/>
        </w:rPr>
        <w:t>($/kW)</w:t>
      </w:r>
    </w:p>
    <w:p>
      <w:pPr>
        <w:pStyle w:val="BodyText"/>
        <w:tabs>
          <w:tab w:val="clear" w:pos="720"/>
          <w:tab w:val="left" w:pos="2880" w:leader="none"/>
          <w:tab w:val="left" w:pos="5040" w:leader="none"/>
        </w:tabs>
        <w:spacing w:before="120" w:after="0"/>
        <w:ind w:start="720" w:end="0"/>
        <w:jc w:val="both"/>
        <w:rPr>
          <w:b w:val="false"/>
          <w:sz w:val="24"/>
        </w:rPr>
      </w:pPr>
      <w:r>
        <w:rPr>
          <w:b w:val="false"/>
          <w:sz w:val="24"/>
        </w:rPr>
        <w:t>Sep 00</w:t>
        <w:tab/>
        <w:t>122,000</w:t>
        <w:tab/>
        <w:t>2.50</w:t>
      </w:r>
    </w:p>
    <w:p>
      <w:pPr>
        <w:pStyle w:val="BodyText"/>
        <w:tabs>
          <w:tab w:val="clear" w:pos="720"/>
          <w:tab w:val="left" w:pos="2880" w:leader="none"/>
          <w:tab w:val="left" w:pos="5040" w:leader="none"/>
        </w:tabs>
        <w:ind w:start="720" w:end="0"/>
        <w:jc w:val="both"/>
        <w:rPr>
          <w:b w:val="false"/>
          <w:sz w:val="24"/>
        </w:rPr>
      </w:pPr>
      <w:r>
        <w:rPr>
          <w:b w:val="false"/>
          <w:sz w:val="24"/>
        </w:rPr>
        <w:t>Oct 00</w:t>
        <w:tab/>
        <w:t>146,000</w:t>
        <w:tab/>
        <w:t>2.50</w:t>
      </w:r>
    </w:p>
    <w:p>
      <w:pPr>
        <w:pStyle w:val="BodyText"/>
        <w:tabs>
          <w:tab w:val="clear" w:pos="720"/>
          <w:tab w:val="left" w:pos="2880" w:leader="none"/>
          <w:tab w:val="left" w:pos="5040" w:leader="none"/>
        </w:tabs>
        <w:ind w:start="720" w:end="0"/>
        <w:jc w:val="both"/>
        <w:rPr>
          <w:b w:val="false"/>
          <w:sz w:val="24"/>
        </w:rPr>
      </w:pPr>
      <w:r>
        <w:rPr>
          <w:b w:val="false"/>
          <w:sz w:val="24"/>
        </w:rPr>
        <w:t>Nov 00</w:t>
        <w:tab/>
        <w:t>156,000</w:t>
        <w:tab/>
        <w:t>2.50</w:t>
      </w:r>
    </w:p>
    <w:p>
      <w:pPr>
        <w:pStyle w:val="BodyText"/>
        <w:tabs>
          <w:tab w:val="clear" w:pos="720"/>
          <w:tab w:val="left" w:pos="2880" w:leader="none"/>
          <w:tab w:val="left" w:pos="5040" w:leader="none"/>
        </w:tabs>
        <w:ind w:start="720" w:end="0"/>
        <w:jc w:val="both"/>
        <w:rPr>
          <w:b w:val="false"/>
          <w:sz w:val="24"/>
        </w:rPr>
      </w:pPr>
      <w:r>
        <w:rPr>
          <w:b w:val="false"/>
          <w:sz w:val="24"/>
        </w:rPr>
        <w:t>Dec 00</w:t>
        <w:tab/>
        <w:t>178,000</w:t>
        <w:tab/>
        <w:t>2.50</w:t>
      </w:r>
    </w:p>
    <w:p>
      <w:pPr>
        <w:pStyle w:val="BodyText"/>
        <w:tabs>
          <w:tab w:val="clear" w:pos="720"/>
          <w:tab w:val="left" w:pos="2880" w:leader="none"/>
          <w:tab w:val="left" w:pos="5040" w:leader="none"/>
        </w:tabs>
        <w:ind w:start="720" w:end="0"/>
        <w:jc w:val="both"/>
        <w:rPr>
          <w:b w:val="false"/>
          <w:sz w:val="24"/>
        </w:rPr>
      </w:pPr>
      <w:r>
        <w:rPr>
          <w:b w:val="false"/>
          <w:sz w:val="24"/>
        </w:rPr>
        <w:t>Jan 01</w:t>
        <w:tab/>
        <w:t>183,000</w:t>
        <w:tab/>
        <w:t>2.50</w:t>
      </w:r>
    </w:p>
    <w:p>
      <w:pPr>
        <w:pStyle w:val="BodyText"/>
        <w:tabs>
          <w:tab w:val="clear" w:pos="720"/>
          <w:tab w:val="left" w:pos="2880" w:leader="none"/>
          <w:tab w:val="left" w:pos="5040" w:leader="none"/>
        </w:tabs>
        <w:ind w:start="720" w:end="0"/>
        <w:jc w:val="both"/>
        <w:rPr>
          <w:b w:val="false"/>
          <w:sz w:val="24"/>
        </w:rPr>
      </w:pPr>
      <w:r>
        <w:rPr>
          <w:b w:val="false"/>
          <w:sz w:val="24"/>
        </w:rPr>
        <w:t>Feb 01</w:t>
        <w:tab/>
        <w:t>164,000</w:t>
        <w:tab/>
        <w:t>2.50</w:t>
      </w:r>
    </w:p>
    <w:p>
      <w:pPr>
        <w:pStyle w:val="BodyText"/>
        <w:tabs>
          <w:tab w:val="clear" w:pos="720"/>
          <w:tab w:val="left" w:pos="2880" w:leader="none"/>
          <w:tab w:val="left" w:pos="5040" w:leader="none"/>
        </w:tabs>
        <w:ind w:start="720" w:end="0"/>
        <w:jc w:val="both"/>
        <w:rPr>
          <w:b w:val="false"/>
          <w:sz w:val="24"/>
        </w:rPr>
      </w:pPr>
      <w:r>
        <w:rPr>
          <w:b w:val="false"/>
          <w:sz w:val="24"/>
        </w:rPr>
        <w:t>Mar 01</w:t>
        <w:tab/>
        <w:t>159,000</w:t>
        <w:tab/>
        <w:t>2.50</w:t>
      </w:r>
    </w:p>
    <w:p>
      <w:pPr>
        <w:pStyle w:val="BodyText"/>
        <w:tabs>
          <w:tab w:val="clear" w:pos="720"/>
          <w:tab w:val="left" w:pos="2880" w:leader="none"/>
          <w:tab w:val="left" w:pos="5040" w:leader="none"/>
        </w:tabs>
        <w:ind w:start="720" w:end="0"/>
        <w:jc w:val="both"/>
        <w:rPr>
          <w:b w:val="false"/>
          <w:sz w:val="24"/>
        </w:rPr>
      </w:pPr>
      <w:r>
        <w:rPr>
          <w:b w:val="false"/>
          <w:sz w:val="24"/>
        </w:rPr>
        <w:t>Apr 01</w:t>
        <w:tab/>
        <w:t>141,000</w:t>
        <w:tab/>
        <w:t>2.50</w:t>
      </w:r>
    </w:p>
    <w:p>
      <w:pPr>
        <w:pStyle w:val="BodyText"/>
        <w:tabs>
          <w:tab w:val="clear" w:pos="720"/>
          <w:tab w:val="left" w:pos="2880" w:leader="none"/>
          <w:tab w:val="left" w:pos="5040" w:leader="none"/>
        </w:tabs>
        <w:ind w:start="720" w:end="0"/>
        <w:jc w:val="both"/>
        <w:rPr>
          <w:b w:val="false"/>
          <w:sz w:val="24"/>
        </w:rPr>
      </w:pPr>
      <w:r>
        <w:rPr>
          <w:b w:val="false"/>
          <w:sz w:val="24"/>
        </w:rPr>
        <w:t>May 01</w:t>
        <w:tab/>
        <w:t>138,000</w:t>
        <w:tab/>
        <w:t>2.50</w:t>
      </w:r>
    </w:p>
    <w:p>
      <w:pPr>
        <w:pStyle w:val="Normal"/>
        <w:spacing w:before="120" w:after="0"/>
        <w:jc w:val="both"/>
        <w:rPr>
          <w:b/>
          <w:sz w:val="24"/>
        </w:rPr>
      </w:pPr>
      <w:r>
        <w:rPr>
          <w:b/>
          <w:sz w:val="24"/>
        </w:rPr>
      </w:r>
    </w:p>
    <w:p>
      <w:pPr>
        <w:pStyle w:val="Normal"/>
        <w:spacing w:before="120" w:after="0"/>
        <w:jc w:val="both"/>
        <w:rPr/>
      </w:pPr>
      <w:r>
        <w:rPr/>
      </w:r>
    </w:p>
    <w:p>
      <w:pPr>
        <w:pStyle w:val="Normal"/>
        <w:spacing w:before="120" w:after="0"/>
        <w:jc w:val="both"/>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/mnt/main-storage/datasets/enron-docs/doc/New_Hampshire_Electric_1_Cl.doc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6413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/mnt/main-storage/datasets/enron-docs/doc/New_Hampshire_Electric_1_Cl.doc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26">
              <wp:simplePos x="0" y="0"/>
              <wp:positionH relativeFrom="column">
                <wp:posOffset>3931920</wp:posOffset>
              </wp:positionH>
              <wp:positionV relativeFrom="paragraph">
                <wp:posOffset>635</wp:posOffset>
              </wp:positionV>
              <wp:extent cx="2011680" cy="365760"/>
              <wp:effectExtent l="0" t="0" r="0" b="0"/>
              <wp:wrapNone/>
              <wp:docPr id="1" name="Frame5"/>
              <a:graphic xmlns:a="http://schemas.openxmlformats.org/drawingml/2006/main">
                <a:graphicData uri="http://schemas.microsoft.com/office/word/2010/wordprocessingShape">
                  <wps:wsp>
                    <wps:cNvSpPr txBox="1"/>
                    <wps:spPr>
                      <a:xfrm>
                        <a:off x="0" y="0"/>
                        <a:ext cx="2011680" cy="365760"/>
                      </a:xfrm>
                      <a:prstGeom prst="rect"/>
                      <a:solidFill>
                        <a:srgbClr val="FFFFFF">
                          <a:alpha val="0"/>
                        </a:srgbClr>
                      </a:solidFill>
                    </wps:spPr>
                    <wps:txbx>
                      <w:txbxContent>
                        <w:p>
                          <w:pPr>
                            <w:pStyle w:val="Normal"/>
                            <w:rPr>
                              <w:b/>
                              <w:smallCaps/>
                            </w:rPr>
                          </w:pPr>
                          <w:r>
                            <w:rPr>
                              <w:b/>
                              <w:smallCaps/>
                            </w:rPr>
                            <w:t>Draft of April 5, 2000</w:t>
                          </w:r>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0pt;mso-position-vertical-relative:text;margin-left:309.6pt;mso-position-horizontal-relative:text">
              <v:fill opacity="0f"/>
              <v:textbox inset="0.100694444444444in,0.0506944444444444in,0.100694444444444in,0.0506944444444444in">
                <w:txbxContent>
                  <w:p>
                    <w:pPr>
                      <w:pStyle w:val="Normal"/>
                      <w:rPr>
                        <w:b/>
                        <w:smallCaps/>
                      </w:rPr>
                    </w:pPr>
                    <w:r>
                      <w:rPr>
                        <w:b/>
                        <w:smallCaps/>
                      </w:rPr>
                      <w:t>Draft of April 5, 2000</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29">
              <wp:simplePos x="0" y="0"/>
              <wp:positionH relativeFrom="column">
                <wp:posOffset>3931920</wp:posOffset>
              </wp:positionH>
              <wp:positionV relativeFrom="paragraph">
                <wp:posOffset>635</wp:posOffset>
              </wp:positionV>
              <wp:extent cx="2011680" cy="365760"/>
              <wp:effectExtent l="0" t="0" r="0" b="0"/>
              <wp:wrapNone/>
              <wp:docPr id="6" name="Frame7"/>
              <a:graphic xmlns:a="http://schemas.openxmlformats.org/drawingml/2006/main">
                <a:graphicData uri="http://schemas.microsoft.com/office/word/2010/wordprocessingShape">
                  <wps:wsp>
                    <wps:cNvSpPr txBox="1"/>
                    <wps:spPr>
                      <a:xfrm>
                        <a:off x="0" y="0"/>
                        <a:ext cx="2011680" cy="365760"/>
                      </a:xfrm>
                      <a:prstGeom prst="rect"/>
                      <a:solidFill>
                        <a:srgbClr val="FFFFFF">
                          <a:alpha val="0"/>
                        </a:srgbClr>
                      </a:solidFill>
                    </wps:spPr>
                    <wps:txbx>
                      <w:txbxContent>
                        <w:p>
                          <w:pPr>
                            <w:pStyle w:val="Normal"/>
                            <w:rPr>
                              <w:b/>
                              <w:smallCaps/>
                            </w:rPr>
                          </w:pPr>
                          <w:r>
                            <w:rPr>
                              <w:b/>
                              <w:smallCaps/>
                            </w:rPr>
                            <w:t>Draft of April 5, 2000</w:t>
                          </w:r>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0pt;mso-position-vertical-relative:text;margin-left:309.6pt;mso-position-horizontal-relative:text">
              <v:fill opacity="0f"/>
              <v:textbox inset="0.100694444444444in,0.0506944444444444in,0.100694444444444in,0.0506944444444444in">
                <w:txbxContent>
                  <w:p>
                    <w:pPr>
                      <w:pStyle w:val="Normal"/>
                      <w:rPr>
                        <w:b/>
                        <w:smallCaps/>
                      </w:rPr>
                    </w:pPr>
                    <w:r>
                      <w:rPr>
                        <w:b/>
                        <w:smallCaps/>
                      </w:rPr>
                      <w:t>Draft of April 5, 2000</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spacing w:before="120" w:after="0"/>
      <w:ind w:hanging="0" w:start="2160" w:end="0"/>
      <w:outlineLvl w:val="3"/>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BodyTextIndent3">
    <w:name w:val="Body Text Indent 3"/>
    <w:basedOn w:val="Normal"/>
    <w:qFormat/>
    <w:pPr>
      <w:tabs>
        <w:tab w:val="left" w:pos="-720" w:leader="none"/>
        <w:tab w:val="left" w:pos="0" w:leader="none"/>
        <w:tab w:val="left" w:pos="720" w:leader="none"/>
        <w:tab w:val="left" w:pos="1440" w:leader="none"/>
      </w:tabs>
      <w:suppressAutoHyphens w:val="true"/>
      <w:ind w:hanging="1440" w:start="1440" w:end="0"/>
    </w:pPr>
    <w:rPr/>
  </w:style>
  <w:style w:type="paragraph" w:styleId="BodyText2">
    <w:name w:val="Body Text 2"/>
    <w:basedOn w:val="Normal"/>
    <w:qFormat/>
    <w:pPr/>
    <w:rPr>
      <w:b/>
    </w:rPr>
  </w:style>
  <w:style w:type="paragraph" w:styleId="Subtitle">
    <w:name w:val="Subtitle"/>
    <w:basedOn w:val="Normal"/>
    <w:next w:val="BodyText"/>
    <w:qFormat/>
    <w:pPr>
      <w:spacing w:before="120" w:after="0"/>
      <w:jc w:val="both"/>
    </w:pPr>
    <w:rPr>
      <w:b/>
    </w:rPr>
  </w:style>
  <w:style w:type="paragraph" w:styleId="BodyText3">
    <w:name w:val="Body Text 3"/>
    <w:basedOn w:val="Normal"/>
    <w:qFormat/>
    <w:pPr>
      <w:spacing w:before="120" w:after="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2000-04-05T18:29:00Z</dcterms:created>
  <dc:creator>Network User</dc:creator>
  <dc:description/>
  <dc:language>en-CA</dc:language>
  <cp:lastModifiedBy>Brenda Whitehead</cp:lastModifiedBy>
  <cp:lastPrinted>2000-04-05T15:59:00Z</cp:lastPrinted>
  <dcterms:modified xsi:type="dcterms:W3CDTF">2000-04-05T18:29:00Z</dcterms:modified>
  <cp:revision>3</cp:revision>
  <dc:subject/>
  <dc:title>POWER SUPPLY AGREEMENT</dc:title>
</cp:coreProperties>
</file>