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rPr>
            </w:pPr>
            <w:r>
              <w:rPr>
                <w:rFonts w:eastAsia="Arial Unicode MS" w:cs="Arial" w:ascii="Arial" w:hAnsi="Arial"/>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bold121"/>
              </w:rPr>
              <w:t>N.H. Electric Deregulation Clears Last Major Hurdle</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121"/>
              </w:rPr>
              <w:t>Of DOW JONES NEWSWIRES</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eastAsia="Arial Unicode MS" w:cs="Arial"/>
              </w:rPr>
            </w:pPr>
            <w:r>
              <w:rPr>
                <w:rStyle w:val="arialblack121"/>
              </w:rPr>
              <w:t>09/13/2000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Style w:val="arialblack121"/>
              </w:rPr>
              <w:t>Dow Jones Energy Service</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121"/>
              </w:rPr>
              <w:t>(Copyright (c) 2000, Dow Jones &amp; Company, Inc.)</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Style w:val="lucidablack101"/>
              </w:rPr>
            </w:pPr>
            <w:r>
              <w:rPr>
                <w:rStyle w:val="arialblack121"/>
              </w:rPr>
              <w:t xml:space="preserve">(This article was originally published Tuesday) </w:t>
            </w:r>
          </w:p>
          <w:p>
            <w:pPr>
              <w:pStyle w:val="HTMLPreformatted"/>
              <w:rPr/>
            </w:pPr>
            <w:r>
              <w:rPr>
                <w:color w:val="000000"/>
              </w:rPr>
              <w:t xml:space="preserve">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sz w:val="20"/>
                <w:szCs w:val="20"/>
              </w:rPr>
            </w:pPr>
            <w:r>
              <w:rPr>
                <w:rFonts w:cs="Arial" w:ascii="Arial" w:hAnsi="Arial"/>
                <w:color w:val="000000"/>
              </w:rPr>
              <w:br/>
            </w:r>
            <w:r>
              <w:rPr>
                <w:rStyle w:val="arialblack121"/>
              </w:rPr>
              <w:t xml:space="preserve">  By James Covert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sz w:val="20"/>
                <w:szCs w:val="20"/>
              </w:rPr>
            </w:pPr>
            <w:r>
              <w:rPr>
                <w:sz w:val="20"/>
                <w:szCs w:val="20"/>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Fonts w:cs="Arial" w:ascii="Arial" w:hAnsi="Arial"/>
              </w:rPr>
              <w:t xml:space="preserve">NEW YORK (Dow Jones)--The three-year battle over the restructuring of Public Service Co. of New Hampshire has cleared its last major hurdle with regulatory approval of a state law. But a few potential stumbling blocks remain, officials said. </w:t>
            </w:r>
          </w:p>
          <w:p>
            <w:pPr>
              <w:pStyle w:val="NormalWeb"/>
              <w:rPr>
                <w:rFonts w:ascii="Arial" w:hAnsi="Arial" w:cs="Arial"/>
              </w:rPr>
            </w:pPr>
            <w:r>
              <w:rPr>
                <w:rStyle w:val="arialblack121"/>
              </w:rPr>
              <w:t xml:space="preserve">The New Hampshire Public Service Commission Friday approved a settlement with the Northeast Utilities (NU) unit that was endorsed by the legislature and signed into law by Gov. Jeanne Shaheen this summer. </w:t>
            </w:r>
          </w:p>
          <w:p>
            <w:pPr>
              <w:pStyle w:val="NormalWeb"/>
              <w:rPr>
                <w:rFonts w:ascii="Arial" w:hAnsi="Arial" w:cs="Arial"/>
              </w:rPr>
            </w:pPr>
            <w:r>
              <w:rPr>
                <w:rStyle w:val="arialblack121"/>
              </w:rPr>
              <w:t xml:space="preserve">The Commission hasn't yet issued an order, which will probably come in the wake of a compliance filing by PS New Hampshire due Sept. 28, officials said. </w:t>
            </w:r>
          </w:p>
          <w:p>
            <w:pPr>
              <w:pStyle w:val="NormalWeb"/>
              <w:rPr>
                <w:rFonts w:ascii="Arial" w:hAnsi="Arial" w:cs="Arial"/>
              </w:rPr>
            </w:pPr>
            <w:r>
              <w:rPr>
                <w:rStyle w:val="arialblack121"/>
              </w:rPr>
              <w:t xml:space="preserve">Under the settlement, the utility's 420,000 customers, which comprise more than 70% of the state, will receive a 5% rate reduction on Oct. 1 as a result of the settlement. </w:t>
            </w:r>
          </w:p>
          <w:p>
            <w:pPr>
              <w:pStyle w:val="NormalWeb"/>
              <w:rPr>
                <w:rFonts w:ascii="Arial" w:hAnsi="Arial" w:cs="Arial"/>
              </w:rPr>
            </w:pPr>
            <w:r>
              <w:rPr>
                <w:rStyle w:val="arialblack121"/>
              </w:rPr>
              <w:t xml:space="preserve">Also under the deal, Northeast Utilities will also have to share with customers a "reasonable" amount of the savings obtained through its proposed merger with Consolidated Edison Co. (ED). PS New Hampshire and PSC staff have set a minimum figure of $75 million, Murray said. </w:t>
            </w:r>
          </w:p>
          <w:p>
            <w:pPr>
              <w:pStyle w:val="NormalWeb"/>
              <w:rPr>
                <w:rFonts w:ascii="Arial" w:hAnsi="Arial" w:cs="Arial"/>
              </w:rPr>
            </w:pPr>
            <w:r>
              <w:rPr>
                <w:rStyle w:val="arialblack121"/>
              </w:rPr>
              <w:t xml:space="preserve">If the orders aren't contested, PS New Hampshire could complete the switch to a fully competitive market by the year's end, spokesman Martin Murray said. But even with a court dispute, PS New Hampshire aims to implement competition by the second quarter of next year, Murray said. </w:t>
            </w:r>
          </w:p>
          <w:p>
            <w:pPr>
              <w:pStyle w:val="NormalWeb"/>
              <w:rPr>
                <w:rFonts w:ascii="Arial" w:hAnsi="Arial" w:cs="Arial"/>
              </w:rPr>
            </w:pPr>
            <w:r>
              <w:rPr>
                <w:rStyle w:val="arialblack121"/>
              </w:rPr>
              <w:t xml:space="preserve">On so-called Competition Day, all of the utility's customers will be allowed to choose an energy provider, and given an additional rate cut of 11%, Murray said. </w:t>
            </w:r>
          </w:p>
          <w:p>
            <w:pPr>
              <w:pStyle w:val="NormalWeb"/>
              <w:rPr>
                <w:rFonts w:ascii="Arial" w:hAnsi="Arial" w:cs="Arial"/>
              </w:rPr>
            </w:pPr>
            <w:r>
              <w:rPr>
                <w:rStyle w:val="arialblack121"/>
              </w:rPr>
              <w:t xml:space="preserve">The plan also calls for PS New Hampshire to absorb an estimated $450 million in "stranded costs" out of a total claim of $2.3 billion. </w:t>
            </w:r>
          </w:p>
          <w:p>
            <w:pPr>
              <w:pStyle w:val="NormalWeb"/>
              <w:rPr>
                <w:rFonts w:ascii="Arial" w:hAnsi="Arial" w:cs="Arial"/>
              </w:rPr>
            </w:pPr>
            <w:r>
              <w:rPr>
                <w:rStyle w:val="arialblack121"/>
              </w:rPr>
              <w:t xml:space="preserve">Stranded costs are debts that won't be recoverable in a competitive environment. In the case of PS New Hampshire, the costs are chiefly related to its ownership of above-market, long-term power supply contracts, and a part-ownership in the Seabrook nuclear plant. </w:t>
            </w:r>
          </w:p>
          <w:p>
            <w:pPr>
              <w:pStyle w:val="NormalWeb"/>
              <w:rPr>
                <w:rFonts w:ascii="Arial" w:hAnsi="Arial" w:cs="Arial"/>
              </w:rPr>
            </w:pPr>
            <w:r>
              <w:rPr>
                <w:rStyle w:val="arialblack121"/>
              </w:rPr>
              <w:t xml:space="preserve">The total amount of PS New Hampshire's stranded costs, which are billed to rate payers as a fixed charge on their bills, is subject to change, depending on the success of an auction of PS New Hampshire's power plants next year, spokesman Murray said. </w:t>
            </w:r>
          </w:p>
          <w:p>
            <w:pPr>
              <w:pStyle w:val="NormalWeb"/>
              <w:rPr>
                <w:rFonts w:ascii="Arial" w:hAnsi="Arial" w:cs="Arial"/>
              </w:rPr>
            </w:pPr>
            <w:r>
              <w:rPr>
                <w:rStyle w:val="arialblack121"/>
              </w:rPr>
              <w:t xml:space="preserve">The utility estimates that its 1,200 megawatts' worth of hydroelectric and fossil-fueled generating plants will fetch $360 million at auction, which is slated to take place six to 12 months after the start of competition. </w:t>
            </w:r>
          </w:p>
          <w:p>
            <w:pPr>
              <w:pStyle w:val="NormalWeb"/>
              <w:rPr>
                <w:rFonts w:ascii="Arial" w:hAnsi="Arial" w:cs="Arial"/>
              </w:rPr>
            </w:pPr>
            <w:r>
              <w:rPr>
                <w:rStyle w:val="arialblack121"/>
              </w:rPr>
              <w:t xml:space="preserve">If the auction fetches more than that figure, proceeds will be used to reduce ratepayers' liability for stranded costs, Murray said. If the auction fetches less, PS New Hampshire shareholders will foot the bill to make up the difference. </w:t>
            </w:r>
          </w:p>
          <w:p>
            <w:pPr>
              <w:pStyle w:val="NormalWeb"/>
              <w:rPr>
                <w:rFonts w:ascii="Arial" w:hAnsi="Arial" w:cs="Arial"/>
              </w:rPr>
            </w:pPr>
            <w:r>
              <w:rPr>
                <w:rStyle w:val="arialblack121"/>
              </w:rPr>
              <w:t xml:space="preserve">The settlement allows the utility to refinance about $570 million of its stranded costs with securitized debt. The securities would be paid by customers over a period of 12 to 14 years. </w:t>
            </w:r>
          </w:p>
          <w:p>
            <w:pPr>
              <w:pStyle w:val="NormalWeb"/>
              <w:rPr>
                <w:rFonts w:ascii="Arial" w:hAnsi="Arial" w:cs="Arial"/>
              </w:rPr>
            </w:pPr>
            <w:r>
              <w:rPr>
                <w:rStyle w:val="arialblack121"/>
              </w:rPr>
              <w:t xml:space="preserve">Parties that could appeal the orders include the Campaign for Ratepayers Rights, which argues that PS New Hampshire has been awarded too much in stranded cost relief. </w:t>
            </w:r>
          </w:p>
          <w:p>
            <w:pPr>
              <w:pStyle w:val="NormalWeb"/>
              <w:rPr>
                <w:rFonts w:ascii="Arial" w:hAnsi="Arial" w:cs="Arial"/>
              </w:rPr>
            </w:pPr>
            <w:r>
              <w:rPr>
                <w:rStyle w:val="arialblack121"/>
              </w:rPr>
              <w:t xml:space="preserve">Portsmouth, N.H.-based Great Bay Power Corp. has objected to the orders because they say it doesn't hold PS New Hampshire liable for the payment of decommissioning costs of the Seabrook plant, which Great Bay is liable for to the tune of $1.7 billion a year. </w:t>
            </w:r>
          </w:p>
          <w:p>
            <w:pPr>
              <w:pStyle w:val="NormalWeb"/>
              <w:rPr>
                <w:rStyle w:val="lucidablack101"/>
              </w:rPr>
            </w:pPr>
            <w:r>
              <w:rPr>
                <w:rStyle w:val="arialblack121"/>
              </w:rPr>
              <w:t xml:space="preserve">The settlement has won support from Consumer Advocate Michael Holmes, as well as several business groups. </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48" w:leader="none"/>
              </w:tabs>
              <w:ind w:start="23" w:end="0"/>
              <w:rPr/>
            </w:pPr>
            <w:r>
              <w:rPr>
                <w:color w:val="000000"/>
              </w:rPr>
              <w:t xml:space="preserve">   </w:t>
            </w:r>
            <w:r>
              <w:rPr>
                <w:color w:val="000000"/>
              </w:rPr>
              <w:t>-By James Covert, Dow Jones Newswires; 201-938-2061;</w:t>
            </w:r>
          </w:p>
          <w:p>
            <w:pPr>
              <w:pStyle w:val="Normal"/>
              <w:rPr>
                <w:rFonts w:ascii="Arial" w:hAnsi="Arial" w:eastAsia="Arial Unicode MS" w:cs="Arial"/>
                <w:color w:val="000000"/>
              </w:rPr>
            </w:pPr>
            <w:r>
              <w:rPr>
                <w:rFonts w:eastAsia="Arial Unicode MS" w:cs="Arial" w:ascii="Arial" w:hAnsi="Arial"/>
                <w:color w:val="000000"/>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2000-09-14T11:08:00Z</dcterms:created>
  <dc:creator>g dillin</dc:creator>
  <dc:description/>
  <dc:language>en-CA</dc:language>
  <cp:lastModifiedBy>g dillin</cp:lastModifiedBy>
  <dcterms:modified xsi:type="dcterms:W3CDTF">2000-09-14T11:08:00Z</dcterms:modified>
  <cp:revision>1</cp:revision>
  <dc:subject/>
  <dc:title>N</dc:title>
</cp:coreProperties>
</file>