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u w:val="single"/>
          <w:lang w:val="en-US"/>
        </w:rPr>
      </w:pPr>
      <w:r>
        <w:rPr>
          <w:u w:val="single"/>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u w:val="single"/>
          <w:lang w:val="en-US"/>
        </w:rPr>
      </w:pPr>
      <w:r>
        <w:rPr>
          <w:u w:val="single"/>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b/>
          <w:sz w:val="28"/>
          <w:lang w:val="en-US"/>
        </w:rPr>
      </w:pPr>
      <w:r>
        <w:rPr>
          <w:b/>
          <w:sz w:val="28"/>
          <w:u w:val="single"/>
          <w:lang w:val="en-US"/>
        </w:rPr>
        <w:t>Guaranty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b/>
          <w:sz w:val="28"/>
          <w:lang w:val="en-US"/>
        </w:rPr>
      </w:pPr>
      <w:r>
        <w:rPr>
          <w:b/>
          <w:sz w:val="28"/>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lang w:val="en-US"/>
        </w:rPr>
      </w:pPr>
      <w:r>
        <w:rPr>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lang w:val="en-US"/>
        </w:rPr>
        <w:tab/>
      </w:r>
      <w:r>
        <w:rPr>
          <w:sz w:val="20"/>
          <w:lang w:val="en-US"/>
        </w:rPr>
        <w:t>This Guaranty Agreement (the "Guaranty"), dated as of September 28, 2000, is made and entered into by Minnesota Power, Inc., a Minnesota corporation (“MP”) and  Great River Energy (“GRE”), Cooperative Power (“CP”), and United Power Association (“UPA”), all a Minnesota cooperative association (collectively the "Guarantors").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center"/>
        <w:rPr>
          <w:sz w:val="20"/>
          <w:lang w:val="en-US"/>
        </w:rPr>
      </w:pPr>
      <w:r>
        <w:rPr>
          <w:b/>
          <w:sz w:val="20"/>
          <w:lang w:val="en-US"/>
        </w:rPr>
        <w:t>W I T N E S S E T H:</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WHEREAS, Enron Power Marketing, Inc., a Delaware corporation ("Counterparty") and Split Rock Energy LLC, a Minnesota limited liability company ("SRE"), will entered into a Master Power Purchase and Sale Agreement of even date herewith, as the same may from time to time be modified, amended and supplemented, (shall be referred to herein as the "Agreement"); and</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WHEREAS, Guarantors will directly or indirectly benefit from the transactions to be entered into between SRE and Counterparty;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NOW THEREFORE, in consideration of Counterparty entering into the Agreement, Guarantors hereby covenants and agrees as follows: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1.</w:t>
        <w:tab/>
      </w:r>
      <w:r>
        <w:rPr>
          <w:sz w:val="20"/>
          <w:u w:val="single"/>
          <w:lang w:val="en-US"/>
        </w:rPr>
        <w:t>GUARANTY</w:t>
      </w:r>
      <w:r>
        <w:rPr>
          <w:sz w:val="20"/>
          <w:lang w:val="en-US"/>
        </w:rPr>
        <w:t>.  Subject to the provisions hereof and any applicable cure period provided in the Agreement, Guarantors hereby irrevocably and unconditionally guarantee the timely payment when due of the obligations of SRE (the "Obligations") to Counterparty under the Agreement.  To the extent that SRE shall fail to pay any Obligations when due, Guarantors shall pay to Counterparty such amount within five (5) Business Days (as defined in the Agreement) of its receipt of a Payment Demand, as defined in, and pursuant to, Paragraph 2 hereof.  This Guaranty shall constitute a guarantee of payment and not of collection.  The liability of Guarantors under this Guaranty shall be limited to the following:</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Guarantors be subject hereunder to any other damages, including, without limitation, consequential, exemplary, equitable, punitive and tort damages, costs, attorney's fees and expenses or loss of profits.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(b)          Minnesota Power, Inc. hereby guarantees payment of one-half of SRE’s payment obligations if SRE defaults under the payment terms of the Agreement and has not made payment to Counterparty.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ind w:start="1440" w:end="0"/>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(c)</w:t>
        <w:tab/>
        <w:t>Great River Energy, Cooperative Power, and United Power Association each severally and jointly,  hereby guarantee payment of one-half of SRE’s payment obligations if SRE defaults under the payment terms of the Agreement and has not made payment to Counterparty.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(d)</w:t>
        <w:tab/>
        <w:t>Notwithstanding anything in this Guaranty to the contrary, the aggregate amount covered by this Guaranty shall not exceed $5,000,000.</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2.</w:t>
        <w:tab/>
      </w:r>
      <w:r>
        <w:rPr>
          <w:sz w:val="20"/>
          <w:u w:val="single"/>
          <w:lang w:val="en-US"/>
        </w:rPr>
        <w:t>DEMANDS AND NOTICE</w:t>
      </w:r>
      <w:r>
        <w:rPr>
          <w:sz w:val="20"/>
          <w:lang w:val="en-US"/>
        </w:rPr>
        <w:t>.  If SRE fails or refuses to pay any Obligations when due, Counterparty shall notify SRE in writing of the manner in which SRE has failed to pay and demand that payment be made by SRE.  If SRE’s failure or refusal to pay continues for a period of fifteen (15) days after the date of Counterparty's notice to SRE, and Counterparty has elected to exercise its rights under this Guaranty, Counterparty shall make a demand upon Guarantors (hereinafter referred to as a "Payment Demand").  A Payment Demand shall be in writing and shall reasonably and briefly specify in what manner and what amount SRE has failed to pay and an explanation of why such payment is due, with a specific statement that Counterparty is calling upon Guarantors to pay under this Guaranty.  A Payment Demand satisfying the foregoing requirements when delivered to Guarantors pursuant to Paragraph 7 of this Guaranty shall be deemed sufficient notice to Guarantors that it must pay the Obligations identified in the Payment Demand.  A single written Payment Demand that complies with the terms of this Paragraph 2 shall be effective as to any specific failure to pay during the continuance of such failure to pay, until SRE or Guarantor has cured such failure to pay, and additional written demands concerning such failure to pay shall not be required until such failure to pay is cured.</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3.</w:t>
        <w:tab/>
      </w:r>
      <w:r>
        <w:rPr>
          <w:sz w:val="20"/>
          <w:u w:val="single"/>
          <w:lang w:val="en-US"/>
        </w:rPr>
        <w:t>REPRESENTATIONS AND WARRANTIES</w:t>
      </w:r>
      <w:r>
        <w:rPr>
          <w:sz w:val="20"/>
          <w:lang w:val="en-US"/>
        </w:rPr>
        <w:t>.  Guarantors represents and warrants that:</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w:t>
        <w:tab/>
        <w:t>the Guarantors are companies duly organized, validly existing, and in good standing under the laws of the state of Minnesota.</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(b)</w:t>
        <w:tab/>
        <w:t>no authorization, approval, consent or order of, or registration or filing with, any court or other governmental body having jurisdiction over Guarantors is required on the part of Guarantors for the execution and delivery of this Guaranty; and</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(c)</w:t>
        <w:tab/>
        <w:t>this Guaranty, when executed and delivered, will constitute a valid and legally binding agreement of Guarantors, except as the enforceability of this Guaranty may be limited by the effect of any applicable bankruptcy, insolvency, reorganization, moratorium or similar laws affecting creditors' rights generally and by general principles of equity.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4.</w:t>
        <w:tab/>
      </w:r>
      <w:r>
        <w:rPr>
          <w:sz w:val="20"/>
          <w:u w:val="single"/>
          <w:lang w:val="en-US"/>
        </w:rPr>
        <w:t>SETOFFS AND COUNTERCLAIMS</w:t>
      </w:r>
      <w:r>
        <w:rPr>
          <w:sz w:val="20"/>
          <w:lang w:val="en-US"/>
        </w:rPr>
        <w:t>.  Without limiting Guarantor's own defenses and rights hereunder, Guarantors reserve to itself all rights, setoffs, counterclaims and other defenses to which SRE or any other affiliate of Guarantor is or may be entitled to, relating to or arising from or out of the Agreement or otherwise, except for defenses relating to, arising from or out of the bankruptcy, insolvency, dissolution or liquidation of SRE.</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5.</w:t>
        <w:tab/>
      </w:r>
      <w:r>
        <w:rPr>
          <w:sz w:val="20"/>
          <w:u w:val="single"/>
          <w:lang w:val="en-US"/>
        </w:rPr>
        <w:t>AMENDMENT OF GUARANTY</w:t>
      </w:r>
      <w:r>
        <w:rPr>
          <w:sz w:val="20"/>
          <w:lang w:val="en-US"/>
        </w:rPr>
        <w:t>.  No term or provision of this Guaranty shall be amended, modified, altered, waived or supplemented except in a writing signed by Guarantors and Counterparty.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6.</w:t>
        <w:tab/>
      </w:r>
      <w:r>
        <w:rPr>
          <w:sz w:val="20"/>
          <w:u w:val="single"/>
          <w:lang w:val="en-US"/>
        </w:rPr>
        <w:t>WAIVERS</w:t>
      </w:r>
      <w:r>
        <w:rPr>
          <w:sz w:val="20"/>
          <w:lang w:val="en-US"/>
        </w:rPr>
        <w:t>.  Guarantors hereby waive (a) notice of acceptance of this Guaranty; (b) presentment and demand concerning the liabilities of Guarantors, except as provided in Paragraphs 1 and 2 hereof; and (c) any right to require that any action or proceeding be brought against SRE or any other person, or except as expressly provided herein, to require that Counterparty seek enforcement of any performance against SRE or any other person, prior to any action against Guarantors under the terms hereof.</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Guarantors consent to the renewal, compromise, extension, acceleration or other changes in the time of payment of or other changes in the terms of the Obligations, or any part thereof or any changes or modifications to the terms of the Agreement.  Provided, however, that in no event shall the aggregate amount of Guarantor’s liability under this guaranty, as limited by Section 1(c) above, be increased as a result of any such change or modification.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This Guaranty shall expire on September 28, 2001 or upon thirty (30) days prior written notice from Guarantors to Counterparty to terminate this Guaranty.  No such expiration or termination shall affect Guarantor's liability with respect to any Transaction (as defined in the Agreement) entered into prior to the time the termination is effective, which Transaction shall remain guaranteed pursuant to the terms of this Guaranty.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7.</w:t>
        <w:tab/>
      </w:r>
      <w:r>
        <w:rPr>
          <w:sz w:val="20"/>
          <w:u w:val="single"/>
          <w:lang w:val="en-US"/>
        </w:rPr>
        <w:t>NOTICE</w:t>
      </w:r>
      <w:r>
        <w:rPr>
          <w:sz w:val="20"/>
          <w:lang w:val="en-US"/>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To Guarantors:</w:t>
        <w:tab/>
        <w:tab/>
        <w:t>Minnesota Power, Inc.</w:t>
        <w:tab/>
        <w:tab/>
        <w:tab/>
        <w:t>Great River Energy</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ab/>
        <w:tab/>
        <w:t>301 – 4</w:t>
      </w:r>
      <w:r>
        <w:rPr>
          <w:sz w:val="20"/>
          <w:vertAlign w:val="superscript"/>
          <w:lang w:val="en-US"/>
        </w:rPr>
        <w:t>th</w:t>
      </w:r>
      <w:r>
        <w:rPr>
          <w:sz w:val="20"/>
          <w:lang w:val="en-US"/>
        </w:rPr>
        <w:t xml:space="preserve"> Ave South, Suite 860N</w:t>
        <w:tab/>
        <w:tab/>
        <w:t>Cooperative Power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Minneapolis, MN 55415</w:t>
        <w:tab/>
        <w:tab/>
        <w:tab/>
        <w:t>United Power Association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Attn: Jason Keil, Credit Manager</w:t>
        <w:tab/>
        <w:tab/>
        <w:t>17845 East Highway 10</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Fax No.: (612) 332-2893</w:t>
        <w:tab/>
        <w:tab/>
        <w:tab/>
        <w:t>Elk River, MN 55330</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tab/>
        <w:tab/>
        <w:tab/>
        <w:tab/>
        <w:tab/>
        <w:tab/>
        <w:tab/>
        <w:tab/>
        <w:t>Attn: Ron Larson, CFO &amp; VP, Finance</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tab/>
        <w:tab/>
        <w:tab/>
        <w:tab/>
        <w:tab/>
        <w:tab/>
        <w:tab/>
        <w:tab/>
        <w:t>Fax No.: (763) 241-2384</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t>To Counterparty:</w:t>
        <w:tab/>
        <w:tab/>
        <w:tab/>
        <w:t>Enron Power Marketing, Inc.</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b/>
        <w:t>1400 Smith St.</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b/>
        <w:t>Houston, TX 77002</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b/>
        <w:t>Attn: Power Contract Documentation Manager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ab/>
        <w:tab/>
        <w:tab/>
        <w:t>Fax No.: (713) 646-2443</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actual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sz w:val="20"/>
          <w:lang w:val="en-US"/>
        </w:rPr>
        <w:tab/>
        <w:t>8.</w:t>
        <w:tab/>
      </w:r>
      <w:r>
        <w:rPr>
          <w:sz w:val="20"/>
          <w:u w:val="single"/>
          <w:lang w:val="en-US"/>
        </w:rPr>
        <w:t>MISCELLANEOUS</w:t>
      </w:r>
      <w:r>
        <w:rPr>
          <w:sz w:val="20"/>
          <w:lang w:val="en-US"/>
        </w:rPr>
        <w:t>.  THIS GUARANTY SHALL IN ALL RESPECTS BE GOVERNED BY, AND CONSTRUED IN ACCORDANCE WITH, THE INTERNAL LAWS OF THE STATE OF NEW YORK, WITHOUT REGARD TO PRINCIPLES OF CONFLICTS OF LAWS.  This Guaranty shall be binding upon Guarantors, its successors and assigns and inure to the benefit of and be enforceable by Counterparty, its successors and assigns.  The Guaranty embodies the entire agreement and understanding between Guarantors and Counterparty and supersedes all prior and contemporaneous agreements and understandings relating to the subject matter hereof.  The headings in this Guaranty are for purposes of reference only, and shall not affect the meaning hereof.</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ab/>
        <w:t>IN WITNESS WHEREOF, the Guarantor has executed this Guaranty on November 2, 2000, but it is effective as of the date first above written.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jc w:val="both"/>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u w:val="single"/>
          <w:lang w:val="en-US"/>
        </w:rPr>
      </w:pPr>
      <w:r>
        <w:rPr>
          <w:b/>
          <w:sz w:val="20"/>
          <w:u w:val="single"/>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pPr>
      <w:r>
        <w:rPr>
          <w:b/>
          <w:sz w:val="20"/>
          <w:lang w:val="en-US"/>
        </w:rPr>
        <w:t>Minnesota Power, Inc., a Minnesota corporation</w:t>
      </w:r>
      <w:r>
        <w:rPr>
          <w:sz w:val="20"/>
          <w:lang w:val="en-US"/>
        </w:rPr>
        <w:tab/>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By:_________________________________</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Name:  Robert J. Adams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Title:   VP, Finance and Business Development</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lang w:val="en-US"/>
        </w:rPr>
      </w:pPr>
      <w:r>
        <w:rPr>
          <w:b/>
          <w:sz w:val="20"/>
          <w:lang w:val="en-US"/>
        </w:rPr>
        <w:t>Great River Energy, a Minnesota cooperative association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lang w:val="en-US"/>
        </w:rPr>
      </w:pPr>
      <w:r>
        <w:rPr>
          <w:b/>
          <w:sz w:val="20"/>
          <w:lang w:val="en-US"/>
        </w:rPr>
        <w:t>Cooperative Power, a Minnesota cooperative association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lang w:val="en-US"/>
        </w:rPr>
      </w:pPr>
      <w:r>
        <w:rPr>
          <w:b/>
          <w:sz w:val="20"/>
          <w:lang w:val="en-US"/>
        </w:rPr>
        <w:t>United Power Association, a Minnesota cooperative association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u w:val="single"/>
          <w:lang w:val="en-US"/>
        </w:rPr>
      </w:pPr>
      <w:r>
        <w:rPr>
          <w:b/>
          <w:sz w:val="20"/>
          <w:u w:val="single"/>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b/>
          <w:sz w:val="20"/>
          <w:u w:val="single"/>
          <w:lang w:val="en-US"/>
        </w:rPr>
      </w:pPr>
      <w:r>
        <w:rPr>
          <w:b/>
          <w:sz w:val="20"/>
          <w:u w:val="single"/>
          <w:lang w:val="en-US"/>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By: _________________________________</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Name:  Ron Larson</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0"/>
          <w:lang w:val="en-US"/>
        </w:rPr>
      </w:pPr>
      <w:r>
        <w:rPr>
          <w:sz w:val="20"/>
          <w:lang w:val="en-US"/>
        </w:rPr>
        <w:t>Title: CFO &amp; Vice President, Finance</w:t>
      </w:r>
    </w:p>
    <w:p>
      <w:pPr>
        <w:pStyle w:val="DefaultText"/>
        <w:jc w:val="center"/>
        <w:rPr>
          <w:sz w:val="20"/>
          <w:lang w:val="en-US"/>
        </w:rPr>
      </w:pPr>
      <w:r>
        <w:rPr>
          <w:sz w:val="20"/>
          <w:lang w:val="en-US"/>
        </w:rPr>
      </w:r>
    </w:p>
    <w:p>
      <w:pPr>
        <w:pStyle w:val="DefaultText"/>
        <w:rPr>
          <w:sz w:val="20"/>
          <w:lang w:val="en-US"/>
        </w:rPr>
      </w:pPr>
      <w:r>
        <w:rPr>
          <w:sz w:val="20"/>
          <w:lang w:val="en-US"/>
        </w:rPr>
      </w:r>
    </w:p>
    <w:p>
      <w:pPr>
        <w:pStyle w:val="DefaultText"/>
        <w:rPr>
          <w:sz w:val="20"/>
          <w:lang w:val="en-US"/>
        </w:rPr>
      </w:pPr>
      <w:r>
        <w:rPr>
          <w:sz w:val="20"/>
          <w:lang w:val="en-US"/>
        </w:rPr>
      </w:r>
    </w:p>
    <w:p>
      <w:pPr>
        <w:pStyle w:val="DefaultText"/>
        <w:rPr>
          <w:sz w:val="20"/>
          <w:lang w:val="en-US"/>
        </w:rPr>
      </w:pPr>
      <w:r>
        <w:rPr>
          <w:sz w:val="20"/>
          <w:lang w:val="en-US"/>
        </w:rPr>
      </w:r>
    </w:p>
    <w:sectPr>
      <w:headerReference w:type="default" r:id="rId2"/>
      <w:headerReference w:type="first" r:id="rId3"/>
      <w:footerReference w:type="default" r:id="rId4"/>
      <w:footerReference w:type="first" r:id="rId5"/>
      <w:type w:val="nextPage"/>
      <w:pgSz w:w="12240" w:h="15840"/>
      <w:pgMar w:left="1440" w:right="1440" w:gutter="0" w:header="792" w:top="1440" w:footer="79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drawing>
        <wp:inline distT="0" distB="0" distL="0" distR="0">
          <wp:extent cx="1299210" cy="577215"/>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1"/>
                  <a:srcRect l="-6" t="-13" r="-6" b="-13"/>
                  <a:stretch>
                    <a:fillRect/>
                  </a:stretch>
                </pic:blipFill>
                <pic:spPr bwMode="auto">
                  <a:xfrm>
                    <a:off x="0" y="0"/>
                    <a:ext cx="1299210" cy="577215"/>
                  </a:xfrm>
                  <a:prstGeom prst="rect">
                    <a:avLst/>
                  </a:prstGeom>
                  <a:noFill/>
                </pic:spPr>
              </pic:pic>
            </a:graphicData>
          </a:graphic>
        </wp:inline>
      </w:drawing>
    </w:r>
  </w:p>
</w:hdr>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keepLines/>
      <w:spacing w:lineRule="auto" w:line="240" w:before="144" w:after="72"/>
      <w:jc w:val="center"/>
    </w:pPr>
    <w:rPr>
      <w:rFonts w:ascii="Arial" w:hAnsi="Arial" w:cs="Arial"/>
      <w:b/>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pacing w:lineRule="auto" w:line="240" w:before="0" w:after="0"/>
    </w:pPr>
    <w:rPr>
      <w:sz w:val="24"/>
    </w:rPr>
  </w:style>
  <w:style w:type="paragraph" w:styleId="Footer">
    <w:name w:val="footer"/>
    <w:basedOn w:val="Normal"/>
    <w:pPr>
      <w:spacing w:lineRule="auto" w:line="240" w:before="0" w:after="0"/>
    </w:pPr>
    <w:rPr>
      <w:sz w:val="24"/>
    </w:rPr>
  </w:style>
  <w:style w:type="paragraph" w:styleId="Subhead">
    <w:name w:val="Subhead"/>
    <w:basedOn w:val="Normal"/>
    <w:qFormat/>
    <w:pPr>
      <w:spacing w:lineRule="auto" w:line="240" w:before="72" w:after="72"/>
    </w:pPr>
    <w:rPr>
      <w:b/>
      <w:i/>
      <w:sz w:val="24"/>
    </w:rPr>
  </w:style>
  <w:style w:type="paragraph" w:styleId="NumberList">
    <w:name w:val="Number List"/>
    <w:basedOn w:val="Normal"/>
    <w:qFormat/>
    <w:pPr>
      <w:spacing w:lineRule="auto" w:line="240" w:before="0" w:after="0"/>
    </w:pPr>
    <w:rPr>
      <w:sz w:val="24"/>
    </w:rPr>
  </w:style>
  <w:style w:type="paragraph" w:styleId="Bullet1">
    <w:name w:val="Bullet 1"/>
    <w:basedOn w:val="Normal"/>
    <w:qFormat/>
    <w:pPr>
      <w:spacing w:lineRule="auto" w:line="240" w:before="0" w:after="0"/>
    </w:pPr>
    <w:rPr>
      <w:sz w:val="24"/>
    </w:rPr>
  </w:style>
  <w:style w:type="paragraph" w:styleId="Bullet">
    <w:name w:val="Bullet"/>
    <w:basedOn w:val="Normal"/>
    <w:qFormat/>
    <w:pPr>
      <w:spacing w:lineRule="auto" w:line="240" w:before="0" w:after="0"/>
    </w:pPr>
    <w:rPr>
      <w:sz w:val="24"/>
    </w:rPr>
  </w:style>
  <w:style w:type="paragraph" w:styleId="BodySingle">
    <w:name w:val="Body Single"/>
    <w:basedOn w:val="Normal"/>
    <w:qFormat/>
    <w:pPr>
      <w:spacing w:lineRule="auto" w:line="240" w:before="0" w:after="0"/>
    </w:pPr>
    <w:rPr>
      <w:sz w:val="24"/>
    </w:rPr>
  </w:style>
  <w:style w:type="paragraph" w:styleId="DefaultText">
    <w:name w:val="Default Text"/>
    <w:basedOn w:val="Normal"/>
    <w:qFormat/>
    <w:pPr>
      <w:spacing w:lineRule="auto" w:line="240" w:before="0" w:after="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2000-11-01T12:34:00Z</dcterms:created>
  <dc:creator>ConAgra Inc.</dc:creator>
  <dc:description/>
  <dc:language>en-CA</dc:language>
  <cp:lastModifiedBy>Jason Keil</cp:lastModifiedBy>
  <cp:lastPrinted>2000-11-02T08:10:00Z</cp:lastPrinted>
  <dcterms:modified xsi:type="dcterms:W3CDTF">2000-12-04T11:02:00Z</dcterms:modified>
  <cp:revision>5</cp:revision>
  <dc:subject/>
  <dc:title>CONAGRA, INC</dc:title>
</cp:coreProperties>
</file>