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shadow/>
          <w:sz w:val="32"/>
        </w:rPr>
      </w:pPr>
      <w:r>
        <w:rPr>
          <w:shadow/>
          <w:sz w:val="32"/>
        </w:rPr>
        <w:t xml:space="preserve">European Commission’s Draft Proposal </w:t>
      </w:r>
    </w:p>
    <w:p>
      <w:pPr>
        <w:pStyle w:val="BodyText"/>
        <w:jc w:val="center"/>
        <w:rPr>
          <w:rFonts w:ascii="Georgia" w:hAnsi="Georgia" w:cs="Georgia"/>
          <w:shadow/>
          <w:sz w:val="32"/>
        </w:rPr>
      </w:pPr>
      <w:r>
        <w:rPr>
          <w:rFonts w:cs="Georgia" w:ascii="Georgia" w:hAnsi="Georgia"/>
          <w:shadow/>
          <w:sz w:val="32"/>
        </w:rPr>
      </w:r>
    </w:p>
    <w:p>
      <w:pPr>
        <w:pStyle w:val="BodyText"/>
        <w:jc w:val="center"/>
        <w:rPr>
          <w:rFonts w:ascii="Georgia" w:hAnsi="Georgia" w:cs="Georgia"/>
          <w:caps w:val="false"/>
          <w:smallCaps w:val="false"/>
          <w:sz w:val="24"/>
        </w:rPr>
      </w:pPr>
      <w:r>
        <w:rPr>
          <w:rFonts w:cs="Georgia" w:ascii="Georgia" w:hAnsi="Georgia"/>
          <w:caps w:val="false"/>
          <w:smallCaps w:val="false"/>
          <w:sz w:val="24"/>
        </w:rPr>
        <w:t>for a new Directive amending Directives 96/92/EC and 98/30/EC concerning common rules for the internal market in electricity and natural gas</w:t>
      </w:r>
    </w:p>
    <w:p>
      <w:pPr>
        <w:pStyle w:val="Normal"/>
        <w:rPr>
          <w:rFonts w:ascii="Georgia" w:hAnsi="Georgia" w:cs="Georgia"/>
          <w:b/>
          <w:smallCaps/>
          <w:sz w:val="28"/>
        </w:rPr>
      </w:pPr>
      <w:r>
        <w:rPr>
          <w:rFonts w:cs="Georgia" w:ascii="Georgia" w:hAnsi="Georgia"/>
          <w:b/>
          <w:smallCaps/>
          <w:sz w:val="28"/>
        </w:rPr>
      </w:r>
    </w:p>
    <w:p>
      <w:pPr>
        <w:pStyle w:val="Normal"/>
        <w:rPr/>
      </w:pPr>
      <w:r>
        <w:rPr>
          <w:b/>
          <w:smallCaps/>
          <w:sz w:val="28"/>
          <w:u w:val="single"/>
        </w:rPr>
        <w:t xml:space="preserve">NB:  </w:t>
      </w:r>
      <w:r>
        <w:rPr>
          <w:i/>
          <w:sz w:val="24"/>
          <w:u w:val="single"/>
        </w:rPr>
        <w:t>All references are made to  new or amended Articles and clauses of the original Electricity and Gas Directives</w:t>
      </w:r>
    </w:p>
    <w:p>
      <w:pPr>
        <w:pStyle w:val="Normal"/>
        <w:rPr>
          <w:i/>
          <w:i/>
          <w:sz w:val="24"/>
          <w:u w:val="single"/>
        </w:rPr>
      </w:pPr>
      <w:r>
        <w:rPr>
          <w:i/>
          <w:sz w:val="24"/>
          <w:u w:val="single"/>
        </w:rPr>
      </w:r>
    </w:p>
    <w:p>
      <w:pPr>
        <w:pStyle w:val="Heading1"/>
        <w:ind w:hanging="0" w:start="0"/>
        <w:rPr>
          <w:i/>
          <w:i/>
          <w:sz w:val="24"/>
        </w:rPr>
      </w:pPr>
      <w:r>
        <w:rPr>
          <w:i/>
          <w:sz w:val="24"/>
        </w:rPr>
      </w:r>
    </w:p>
    <w:p>
      <w:pPr>
        <w:pStyle w:val="Heading1"/>
        <w:ind w:hanging="0" w:start="0"/>
        <w:rPr/>
      </w:pPr>
      <w:r>
        <w:rPr/>
        <w:t>Summary</w:t>
      </w:r>
    </w:p>
    <w:p>
      <w:pPr>
        <w:pStyle w:val="Normal"/>
        <w:rPr/>
      </w:pPr>
      <w:r>
        <w:rPr/>
      </w:r>
    </w:p>
    <w:p>
      <w:pPr>
        <w:pStyle w:val="Normal"/>
        <w:numPr>
          <w:ilvl w:val="0"/>
          <w:numId w:val="7"/>
        </w:numPr>
        <w:rPr>
          <w:sz w:val="24"/>
        </w:rPr>
      </w:pPr>
      <w:r>
        <w:rPr>
          <w:sz w:val="24"/>
        </w:rPr>
        <w:t>The draft proposal for a new Directive covers both electricity and gas</w:t>
      </w:r>
    </w:p>
    <w:p>
      <w:pPr>
        <w:pStyle w:val="Normal"/>
        <w:rPr>
          <w:sz w:val="24"/>
        </w:rPr>
      </w:pPr>
      <w:r>
        <w:rPr>
          <w:sz w:val="24"/>
        </w:rPr>
      </w:r>
    </w:p>
    <w:p>
      <w:pPr>
        <w:pStyle w:val="Normal"/>
        <w:numPr>
          <w:ilvl w:val="0"/>
          <w:numId w:val="7"/>
        </w:numPr>
        <w:rPr>
          <w:sz w:val="24"/>
        </w:rPr>
      </w:pPr>
      <w:r>
        <w:rPr>
          <w:sz w:val="24"/>
        </w:rPr>
        <w:t xml:space="preserve">Apart from amending the original Electricity and Gas Directives, it also repeals the Council Directives on the transit of electricity and gas </w:t>
      </w:r>
    </w:p>
    <w:p>
      <w:pPr>
        <w:pStyle w:val="Normal"/>
        <w:rPr>
          <w:sz w:val="24"/>
        </w:rPr>
      </w:pPr>
      <w:r>
        <w:rPr>
          <w:sz w:val="24"/>
        </w:rPr>
      </w:r>
    </w:p>
    <w:p>
      <w:pPr>
        <w:pStyle w:val="Normal"/>
        <w:numPr>
          <w:ilvl w:val="0"/>
          <w:numId w:val="7"/>
        </w:numPr>
        <w:rPr>
          <w:sz w:val="24"/>
        </w:rPr>
      </w:pPr>
      <w:r>
        <w:rPr>
          <w:sz w:val="24"/>
        </w:rPr>
        <w:t>The implementation period envisaged in the current text is one year after the adoption of this Directive (i.e. Member States should bring into force all the necessary laws, regulations and administrative provisions necessary to comply with the Directive within twelve months)</w:t>
      </w:r>
    </w:p>
    <w:p>
      <w:pPr>
        <w:pStyle w:val="Normal"/>
        <w:rPr>
          <w:sz w:val="24"/>
        </w:rPr>
      </w:pPr>
      <w:r>
        <w:rPr>
          <w:sz w:val="24"/>
        </w:rPr>
      </w:r>
    </w:p>
    <w:p>
      <w:pPr>
        <w:pStyle w:val="Normal"/>
        <w:numPr>
          <w:ilvl w:val="0"/>
          <w:numId w:val="7"/>
        </w:numPr>
        <w:rPr>
          <w:sz w:val="24"/>
        </w:rPr>
      </w:pPr>
      <w:r>
        <w:rPr>
          <w:sz w:val="24"/>
        </w:rPr>
        <w:t>We anticipate process of discussion in the Council of Ministers and passages through the European Parliament will last until at least end of 2001, but possibly longer than that.</w:t>
      </w:r>
    </w:p>
    <w:p>
      <w:pPr>
        <w:pStyle w:val="Normal"/>
        <w:rPr>
          <w:sz w:val="24"/>
        </w:rPr>
      </w:pPr>
      <w:r>
        <w:rPr>
          <w:sz w:val="24"/>
        </w:rPr>
      </w:r>
    </w:p>
    <w:p>
      <w:pPr>
        <w:pStyle w:val="Normal"/>
        <w:rPr>
          <w:sz w:val="24"/>
        </w:rPr>
      </w:pPr>
      <w:r>
        <w:rPr>
          <w:sz w:val="24"/>
        </w:rPr>
      </w:r>
    </w:p>
    <w:p>
      <w:pPr>
        <w:pStyle w:val="Heading2"/>
        <w:ind w:hanging="0" w:start="0"/>
        <w:rPr>
          <w:sz w:val="28"/>
        </w:rPr>
      </w:pPr>
      <w:r>
        <w:rPr>
          <w:sz w:val="28"/>
        </w:rPr>
        <w:t>Quantitative proposals</w:t>
      </w:r>
    </w:p>
    <w:p>
      <w:pPr>
        <w:pStyle w:val="Normal"/>
        <w:rPr>
          <w:sz w:val="28"/>
        </w:rPr>
      </w:pPr>
      <w:r>
        <w:rPr>
          <w:sz w:val="28"/>
        </w:rPr>
      </w:r>
    </w:p>
    <w:p>
      <w:pPr>
        <w:pStyle w:val="Normal"/>
        <w:numPr>
          <w:ilvl w:val="0"/>
          <w:numId w:val="5"/>
        </w:numPr>
        <w:rPr>
          <w:sz w:val="24"/>
        </w:rPr>
      </w:pPr>
      <w:r>
        <w:rPr>
          <w:b/>
          <w:sz w:val="24"/>
        </w:rPr>
        <w:t>Art. 19 (Electricity) -</w:t>
      </w:r>
      <w:r>
        <w:rPr>
          <w:sz w:val="24"/>
        </w:rPr>
        <w:t xml:space="preserve"> All non-domestic electricity customers(*) should be made free to choose their electricity supplier by 1 January 2003.</w:t>
      </w:r>
    </w:p>
    <w:p>
      <w:pPr>
        <w:pStyle w:val="Normal"/>
        <w:numPr>
          <w:ilvl w:val="0"/>
          <w:numId w:val="5"/>
        </w:numPr>
        <w:rPr>
          <w:sz w:val="24"/>
        </w:rPr>
      </w:pPr>
      <w:r>
        <w:rPr>
          <w:sz w:val="24"/>
        </w:rPr>
        <w:t>This will be extended to all electricity customers (100% market opening) by 1 January 2005.</w:t>
      </w:r>
    </w:p>
    <w:p>
      <w:pPr>
        <w:pStyle w:val="Normal"/>
        <w:numPr>
          <w:ilvl w:val="0"/>
          <w:numId w:val="5"/>
        </w:numPr>
        <w:rPr>
          <w:sz w:val="24"/>
        </w:rPr>
      </w:pPr>
      <w:r>
        <w:rPr>
          <w:b/>
          <w:sz w:val="24"/>
        </w:rPr>
        <w:t>Art. 18 (Gas)</w:t>
      </w:r>
      <w:r>
        <w:rPr>
          <w:sz w:val="24"/>
        </w:rPr>
        <w:t xml:space="preserve"> - All non-domestic gas customers(*) should be able to choose their gas supplier from 1 January 2004 (one year later than electricity).</w:t>
      </w:r>
    </w:p>
    <w:p>
      <w:pPr>
        <w:pStyle w:val="Normal"/>
        <w:numPr>
          <w:ilvl w:val="0"/>
          <w:numId w:val="5"/>
        </w:numPr>
        <w:rPr>
          <w:sz w:val="24"/>
        </w:rPr>
      </w:pPr>
      <w:r>
        <w:rPr>
          <w:sz w:val="24"/>
        </w:rPr>
        <w:t>This should be extended to all gas customers (100% market opening) by 1 January 2005 (i.e. in parallel with electricity).</w: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63500</wp:posOffset>
                </wp:positionV>
                <wp:extent cx="1371600" cy="0"/>
                <wp:effectExtent l="0" t="5080" r="0" b="5080"/>
                <wp:wrapNone/>
                <wp:docPr id="1"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5pt" to="104.35pt,5pt" stroked="t" o:allowincell="f" style="position:absolute">
                <v:stroke color="black" weight="9360" joinstyle="miter" endcap="flat"/>
                <v:fill o:detectmouseclick="t" on="false"/>
                <w10:wrap type="none"/>
              </v:line>
            </w:pict>
          </mc:Fallback>
        </mc:AlternateContent>
      </w:r>
    </w:p>
    <w:p>
      <w:pPr>
        <w:pStyle w:val="Normal"/>
        <w:rPr/>
      </w:pPr>
      <w:r>
        <w:rPr>
          <w:rFonts w:cs="Georgia" w:ascii="Georgia" w:hAnsi="Georgia"/>
          <w:b/>
        </w:rPr>
        <w:t>(*) A new definition has been introduced in the new Directive for ‘</w:t>
      </w:r>
      <w:r>
        <w:rPr>
          <w:rFonts w:cs="Georgia" w:ascii="Georgia" w:hAnsi="Georgia"/>
          <w:b/>
          <w:i/>
        </w:rPr>
        <w:t>non-domestic customer’</w:t>
      </w:r>
      <w:r>
        <w:rPr>
          <w:rFonts w:cs="Georgia" w:ascii="Georgia" w:hAnsi="Georgia"/>
          <w:b/>
        </w:rPr>
        <w:t>:</w:t>
      </w:r>
    </w:p>
    <w:p>
      <w:pPr>
        <w:pStyle w:val="Normal"/>
        <w:rPr>
          <w:rFonts w:ascii="Georgia" w:hAnsi="Georgia" w:cs="Georgia"/>
          <w:b/>
        </w:rPr>
      </w:pPr>
      <w:r>
        <w:rPr>
          <w:rFonts w:cs="Georgia" w:ascii="Georgia" w:hAnsi="Georgia"/>
          <w:b/>
        </w:rPr>
      </w:r>
    </w:p>
    <w:p>
      <w:pPr>
        <w:pStyle w:val="Normal"/>
        <w:rPr/>
      </w:pPr>
      <w:r>
        <w:rPr>
          <w:rFonts w:cs="Georgia" w:ascii="Georgia" w:hAnsi="Georgia"/>
          <w:i/>
          <w:u w:val="single"/>
        </w:rPr>
        <w:t>Art 2(22).</w:t>
      </w:r>
      <w:r>
        <w:rPr>
          <w:rFonts w:cs="Georgia" w:ascii="Georgia" w:hAnsi="Georgia"/>
          <w:u w:val="single"/>
        </w:rPr>
        <w:t xml:space="preserve"> Electricity:</w:t>
      </w:r>
      <w:r>
        <w:rPr>
          <w:rFonts w:cs="Georgia" w:ascii="Georgia" w:hAnsi="Georgia"/>
        </w:rPr>
        <w:t xml:space="preserve"> “‘Non-domestic customer’ means a customer purchasing electricity which is not for his or her own household and shall include distribution undertakings”</w:t>
      </w:r>
    </w:p>
    <w:p>
      <w:pPr>
        <w:pStyle w:val="Normal"/>
        <w:rPr>
          <w:rFonts w:ascii="Georgia" w:hAnsi="Georgia" w:cs="Georgia"/>
        </w:rPr>
      </w:pPr>
      <w:r>
        <w:rPr>
          <w:rFonts w:cs="Georgia" w:ascii="Georgia" w:hAnsi="Georgia"/>
        </w:rPr>
      </w:r>
    </w:p>
    <w:p>
      <w:pPr>
        <w:pStyle w:val="Normal"/>
        <w:rPr/>
      </w:pPr>
      <w:r>
        <w:rPr>
          <w:rFonts w:cs="Georgia" w:ascii="Georgia" w:hAnsi="Georgia"/>
          <w:u w:val="single"/>
        </w:rPr>
        <w:t>New Art 2(21). Gas: “</w:t>
      </w:r>
      <w:r>
        <w:rPr>
          <w:rFonts w:cs="Georgia" w:ascii="Georgia" w:hAnsi="Georgia"/>
        </w:rPr>
        <w:t>‘Non-domestic customer’ means a customer purchasing natural gas which is not for his or her household use and shall include generators and distribution undertakings”</w:t>
      </w:r>
    </w:p>
    <w:p>
      <w:pPr>
        <w:pStyle w:val="Normal"/>
        <w:rPr>
          <w:rFonts w:ascii="Georgia" w:hAnsi="Georgia" w:cs="Georgia"/>
          <w:b/>
        </w:rPr>
      </w:pPr>
      <w:r>
        <w:rPr>
          <w:rFonts w:cs="Georgia" w:ascii="Georgia" w:hAnsi="Georgia"/>
          <w:b/>
        </w:rPr>
      </w:r>
    </w:p>
    <w:p>
      <w:pPr>
        <w:pStyle w:val="Normal"/>
        <w:rPr/>
      </w:pPr>
      <w:r>
        <w:rPr>
          <w:rFonts w:cs="Georgia" w:ascii="Georgia" w:hAnsi="Georgia"/>
          <w:b/>
        </w:rPr>
        <w:t xml:space="preserve">Given the definition of </w:t>
      </w:r>
      <w:r>
        <w:rPr>
          <w:rFonts w:cs="Georgia" w:ascii="Georgia" w:hAnsi="Georgia"/>
          <w:b/>
          <w:i/>
        </w:rPr>
        <w:t>‘customer’</w:t>
      </w:r>
      <w:r>
        <w:rPr>
          <w:rFonts w:cs="Georgia" w:ascii="Georgia" w:hAnsi="Georgia"/>
          <w:b/>
        </w:rPr>
        <w:t xml:space="preserve"> in the current Directives </w:t>
      </w:r>
      <w:r>
        <w:rPr>
          <w:rFonts w:cs="Arial" w:ascii="Arial" w:hAnsi="Arial"/>
        </w:rPr>
        <w:t>(</w:t>
      </w:r>
      <w:r>
        <w:rPr>
          <w:rFonts w:cs="Georgia" w:ascii="Georgia" w:hAnsi="Georgia"/>
          <w:i/>
          <w:u w:val="single"/>
        </w:rPr>
        <w:t>Electricity:</w:t>
      </w:r>
      <w:r>
        <w:rPr>
          <w:rFonts w:cs="Georgia" w:ascii="Georgia" w:hAnsi="Georgia"/>
          <w:i/>
        </w:rPr>
        <w:t xml:space="preserve"> “‘customers’ shall mean wholesale or final customers of electricity and distribution companies; Gas: “'customers` means wholesale or final customers of natural gas and natural gas undertakings which purchase natural gas”)</w:t>
      </w:r>
      <w:r>
        <w:rPr>
          <w:rFonts w:cs="Georgia" w:ascii="Georgia" w:hAnsi="Georgia"/>
          <w:b/>
        </w:rPr>
        <w:t xml:space="preserve"> we interpret non-domestic customers to include wholesale intermediaries as well, and not only end-users). </w:t>
        <w:br/>
      </w:r>
      <w:r>
        <w:br w:type="page"/>
      </w:r>
    </w:p>
    <w:p>
      <w:pPr>
        <w:pStyle w:val="Normal"/>
        <w:rPr>
          <w:rFonts w:ascii="Georgia" w:hAnsi="Georgia" w:cs="Georgia"/>
          <w:b/>
          <w:sz w:val="28"/>
        </w:rPr>
      </w:pPr>
      <w:r>
        <w:rPr>
          <w:rFonts w:cs="Georgia" w:ascii="Georgia" w:hAnsi="Georgia"/>
          <w:b/>
          <w:sz w:val="28"/>
        </w:rPr>
      </w:r>
    </w:p>
    <w:p>
      <w:pPr>
        <w:pStyle w:val="Heading2"/>
        <w:ind w:hanging="0" w:start="0"/>
        <w:rPr>
          <w:sz w:val="28"/>
        </w:rPr>
      </w:pPr>
      <w:r>
        <w:rPr>
          <w:sz w:val="28"/>
        </w:rPr>
        <w:t>Qualitative proposals (**)</w:t>
      </w:r>
    </w:p>
    <w:p>
      <w:pPr>
        <w:pStyle w:val="Normal"/>
        <w:rPr>
          <w:sz w:val="28"/>
        </w:rPr>
      </w:pPr>
      <w:r>
        <w:rPr>
          <w:sz w:val="28"/>
        </w:rPr>
      </w:r>
    </w:p>
    <w:p>
      <w:pPr>
        <w:pStyle w:val="BodyText2"/>
        <w:rPr/>
      </w:pPr>
      <w:r>
        <w:rPr/>
        <w:t xml:space="preserve">(**) NB. For the purposes of this summary all the amendments and new provisions discussed apply to </w:t>
      </w:r>
      <w:r>
        <w:rPr>
          <w:u w:val="single"/>
        </w:rPr>
        <w:t>both electricity and gas</w:t>
      </w:r>
      <w:r>
        <w:rPr/>
        <w:t xml:space="preserve"> unless specified otherwise</w:t>
      </w:r>
    </w:p>
    <w:p>
      <w:pPr>
        <w:pStyle w:val="Normal"/>
        <w:rPr/>
      </w:pPr>
      <w:r>
        <w:rPr/>
      </w:r>
    </w:p>
    <w:p>
      <w:pPr>
        <w:pStyle w:val="Normal"/>
        <w:rPr/>
      </w:pPr>
      <w:r>
        <w:rPr/>
      </w:r>
    </w:p>
    <w:p>
      <w:pPr>
        <w:pStyle w:val="Normal"/>
        <w:rPr>
          <w:b/>
          <w:sz w:val="24"/>
          <w:u w:val="single"/>
        </w:rPr>
      </w:pPr>
      <w:r>
        <w:rPr>
          <w:b/>
          <w:sz w:val="24"/>
          <w:u w:val="single"/>
        </w:rPr>
        <w:t>a) Unbundling</w:t>
      </w:r>
    </w:p>
    <w:p>
      <w:pPr>
        <w:pStyle w:val="Normal"/>
        <w:rPr>
          <w:b/>
          <w:sz w:val="24"/>
          <w:u w:val="single"/>
        </w:rPr>
      </w:pPr>
      <w:r>
        <w:rPr>
          <w:b/>
          <w:sz w:val="24"/>
          <w:u w:val="single"/>
        </w:rPr>
      </w:r>
    </w:p>
    <w:p>
      <w:pPr>
        <w:pStyle w:val="Normal"/>
        <w:rPr/>
      </w:pPr>
      <w:r>
        <w:rPr/>
      </w:r>
    </w:p>
    <w:p>
      <w:pPr>
        <w:pStyle w:val="Normal"/>
        <w:numPr>
          <w:ilvl w:val="0"/>
          <w:numId w:val="17"/>
        </w:numPr>
        <w:rPr>
          <w:b/>
          <w:sz w:val="24"/>
        </w:rPr>
      </w:pPr>
      <w:r>
        <w:rPr>
          <w:b/>
          <w:sz w:val="24"/>
        </w:rPr>
        <w:t>Art.7</w:t>
      </w:r>
      <w:r>
        <w:rPr>
          <w:sz w:val="24"/>
        </w:rPr>
        <w:t xml:space="preserve"> </w:t>
      </w:r>
      <w:r>
        <w:rPr>
          <w:b/>
          <w:sz w:val="24"/>
        </w:rPr>
        <w:t xml:space="preserve">(Gas &amp; Electricity) </w:t>
      </w:r>
      <w:r>
        <w:rPr>
          <w:sz w:val="24"/>
        </w:rPr>
        <w:t xml:space="preserve">- Minimum required: </w:t>
      </w:r>
      <w:r>
        <w:rPr>
          <w:b/>
          <w:sz w:val="24"/>
        </w:rPr>
        <w:t>Legal unbundling of transmission</w:t>
      </w:r>
      <w:r>
        <w:rPr>
          <w:sz w:val="24"/>
        </w:rPr>
        <w:t xml:space="preserve"> – i.e. transmission to be carried out via a subsidiary company that is functionally separate vis-à-vis generation and sales activities of the parent company (an independent TSO). Independence of TSO in terms of its organisation and decision making is spelled out separately as well. </w:t>
      </w:r>
      <w:r>
        <w:rPr>
          <w:b/>
          <w:sz w:val="24"/>
        </w:rPr>
        <w:t xml:space="preserve">No legal unbundling requirement for distribution and gas storage / LNG </w:t>
      </w:r>
      <w:r>
        <w:rPr>
          <w:sz w:val="24"/>
        </w:rPr>
        <w:t>(i.e. no requirement to have a separate legal entities for these activities, see heading (d) below).</w:t>
      </w:r>
    </w:p>
    <w:p>
      <w:pPr>
        <w:pStyle w:val="Normal"/>
        <w:rPr>
          <w:b/>
          <w:sz w:val="24"/>
        </w:rPr>
      </w:pPr>
      <w:r>
        <w:rPr>
          <w:b/>
          <w:sz w:val="24"/>
        </w:rPr>
      </w:r>
    </w:p>
    <w:p>
      <w:pPr>
        <w:pStyle w:val="Normal"/>
        <w:numPr>
          <w:ilvl w:val="0"/>
          <w:numId w:val="4"/>
        </w:numPr>
        <w:rPr>
          <w:sz w:val="24"/>
        </w:rPr>
      </w:pPr>
      <w:r>
        <w:rPr>
          <w:b/>
          <w:sz w:val="24"/>
        </w:rPr>
        <w:t>Art. 7(6)</w:t>
      </w:r>
      <w:r>
        <w:rPr>
          <w:sz w:val="24"/>
        </w:rPr>
        <w:t xml:space="preserve"> </w:t>
      </w:r>
      <w:r>
        <w:rPr>
          <w:b/>
          <w:sz w:val="24"/>
        </w:rPr>
        <w:t xml:space="preserve">(Gas &amp; Electricity) </w:t>
      </w:r>
      <w:r>
        <w:rPr>
          <w:sz w:val="24"/>
        </w:rPr>
        <w:t>–</w:t>
      </w:r>
      <w:r>
        <w:rPr>
          <w:sz w:val="24"/>
          <w:u w:val="single"/>
        </w:rPr>
        <w:t xml:space="preserve"> Specific measures</w:t>
      </w:r>
      <w:r>
        <w:rPr>
          <w:sz w:val="24"/>
        </w:rPr>
        <w:t xml:space="preserve"> required to ensure </w:t>
      </w:r>
      <w:r>
        <w:rPr>
          <w:b/>
          <w:sz w:val="24"/>
        </w:rPr>
        <w:t>functional separation</w:t>
      </w:r>
      <w:r>
        <w:rPr>
          <w:sz w:val="24"/>
        </w:rPr>
        <w:t xml:space="preserve">: </w:t>
      </w:r>
    </w:p>
    <w:p>
      <w:pPr>
        <w:pStyle w:val="Normal"/>
        <w:numPr>
          <w:ilvl w:val="0"/>
          <w:numId w:val="2"/>
        </w:numPr>
        <w:tabs>
          <w:tab w:val="left" w:pos="720" w:leader="none"/>
        </w:tabs>
        <w:ind w:hanging="360" w:start="720" w:end="0"/>
        <w:rPr>
          <w:sz w:val="24"/>
        </w:rPr>
      </w:pPr>
      <w:r>
        <w:rPr>
          <w:sz w:val="24"/>
        </w:rPr>
        <w:t xml:space="preserve">Persons responsible for the management of TSO may not participate in company structures responsible, directly or indirectly, for the operation of the generation and supply. </w:t>
      </w:r>
    </w:p>
    <w:p>
      <w:pPr>
        <w:pStyle w:val="Normal"/>
        <w:numPr>
          <w:ilvl w:val="0"/>
          <w:numId w:val="2"/>
        </w:numPr>
        <w:tabs>
          <w:tab w:val="left" w:pos="720" w:leader="none"/>
        </w:tabs>
        <w:ind w:hanging="360" w:start="720" w:end="0"/>
        <w:rPr>
          <w:sz w:val="24"/>
        </w:rPr>
      </w:pPr>
      <w:r>
        <w:rPr>
          <w:sz w:val="24"/>
        </w:rPr>
        <w:t>TSO should be capable of acting independently (i.e. appropriate measure to ensure the interests of the TSO management are taken into account)</w:t>
      </w:r>
    </w:p>
    <w:p>
      <w:pPr>
        <w:pStyle w:val="Normal"/>
        <w:numPr>
          <w:ilvl w:val="0"/>
          <w:numId w:val="2"/>
        </w:numPr>
        <w:tabs>
          <w:tab w:val="left" w:pos="720" w:leader="none"/>
        </w:tabs>
        <w:ind w:hanging="360" w:start="720" w:end="0"/>
        <w:rPr>
          <w:sz w:val="24"/>
        </w:rPr>
      </w:pPr>
      <w:r>
        <w:rPr>
          <w:sz w:val="24"/>
        </w:rPr>
        <w:t xml:space="preserve">TSO should have full control over all relevant assets. </w:t>
      </w:r>
    </w:p>
    <w:p>
      <w:pPr>
        <w:pStyle w:val="Normal"/>
        <w:numPr>
          <w:ilvl w:val="0"/>
          <w:numId w:val="2"/>
        </w:numPr>
        <w:tabs>
          <w:tab w:val="left" w:pos="720" w:leader="none"/>
        </w:tabs>
        <w:ind w:hanging="360" w:start="720" w:end="0"/>
        <w:rPr>
          <w:sz w:val="24"/>
        </w:rPr>
      </w:pPr>
      <w:r>
        <w:rPr>
          <w:sz w:val="24"/>
        </w:rPr>
        <w:t>TSO musty establish a compliance program which sets out measures taken to ensure that discriminatory conduct is excluded – subject to annual reporting to the regulatory authority.</w:t>
      </w:r>
    </w:p>
    <w:p>
      <w:pPr>
        <w:pStyle w:val="Normal"/>
        <w:rPr>
          <w:sz w:val="24"/>
        </w:rPr>
      </w:pPr>
      <w:r>
        <w:rPr>
          <w:sz w:val="24"/>
        </w:rPr>
      </w:r>
    </w:p>
    <w:p>
      <w:pPr>
        <w:pStyle w:val="Normal"/>
        <w:numPr>
          <w:ilvl w:val="0"/>
          <w:numId w:val="16"/>
        </w:numPr>
        <w:rPr>
          <w:sz w:val="24"/>
        </w:rPr>
      </w:pPr>
      <w:r>
        <w:rPr>
          <w:b/>
          <w:sz w:val="24"/>
        </w:rPr>
        <w:t>Art. 13(3) (Gas)</w:t>
      </w:r>
      <w:r>
        <w:rPr>
          <w:sz w:val="24"/>
        </w:rPr>
        <w:t xml:space="preserve"> </w:t>
      </w:r>
      <w:r>
        <w:rPr>
          <w:b/>
          <w:sz w:val="24"/>
        </w:rPr>
        <w:t>&amp; Art. 14(3)</w:t>
      </w:r>
      <w:r>
        <w:rPr>
          <w:sz w:val="24"/>
        </w:rPr>
        <w:t xml:space="preserve"> </w:t>
      </w:r>
      <w:r>
        <w:rPr>
          <w:b/>
          <w:sz w:val="24"/>
        </w:rPr>
        <w:t>(Electricity)</w:t>
      </w:r>
      <w:r>
        <w:rPr>
          <w:sz w:val="24"/>
        </w:rPr>
        <w:t xml:space="preserve"> - Distribution unbundling – in their internal accounting, integrated electricity undertakings should keep </w:t>
      </w:r>
      <w:r>
        <w:rPr>
          <w:sz w:val="24"/>
          <w:u w:val="single"/>
        </w:rPr>
        <w:t>separate accounts</w:t>
      </w:r>
      <w:r>
        <w:rPr>
          <w:sz w:val="24"/>
        </w:rPr>
        <w:t xml:space="preserve"> for their generation, transmission, </w:t>
      </w:r>
      <w:r>
        <w:rPr>
          <w:b/>
          <w:sz w:val="24"/>
        </w:rPr>
        <w:t>distribution</w:t>
      </w:r>
      <w:r>
        <w:rPr>
          <w:sz w:val="24"/>
        </w:rPr>
        <w:t xml:space="preserve"> and supply activities and integrated gas undertakings should keep </w:t>
      </w:r>
      <w:r>
        <w:rPr>
          <w:sz w:val="24"/>
          <w:u w:val="single"/>
        </w:rPr>
        <w:t>separate accounts</w:t>
      </w:r>
      <w:r>
        <w:rPr>
          <w:sz w:val="24"/>
        </w:rPr>
        <w:t xml:space="preserve"> for their gas transmission, </w:t>
      </w:r>
      <w:r>
        <w:rPr>
          <w:b/>
          <w:sz w:val="24"/>
        </w:rPr>
        <w:t>distribution</w:t>
      </w:r>
      <w:r>
        <w:rPr>
          <w:sz w:val="24"/>
        </w:rPr>
        <w:t xml:space="preserve">, supply and </w:t>
      </w:r>
      <w:r>
        <w:rPr>
          <w:b/>
          <w:sz w:val="24"/>
        </w:rPr>
        <w:t>storage</w:t>
      </w:r>
      <w:r>
        <w:rPr>
          <w:sz w:val="24"/>
        </w:rPr>
        <w:t xml:space="preserve"> activities. These internal accounts shall include a balance sheet and a profit and loss account for each capacity. Strengthening of third party access conditions regarding distribution (see below).</w:t>
      </w:r>
    </w:p>
    <w:p>
      <w:pPr>
        <w:pStyle w:val="Normal"/>
        <w:rPr>
          <w:sz w:val="24"/>
        </w:rPr>
      </w:pPr>
      <w:r>
        <w:rPr>
          <w:sz w:val="24"/>
        </w:rPr>
      </w:r>
    </w:p>
    <w:p>
      <w:pPr>
        <w:pStyle w:val="Normal"/>
        <w:rPr>
          <w:b/>
          <w:sz w:val="24"/>
        </w:rPr>
      </w:pPr>
      <w:r>
        <w:rPr>
          <w:b/>
          <w:sz w:val="24"/>
        </w:rPr>
      </w:r>
    </w:p>
    <w:p>
      <w:pPr>
        <w:pStyle w:val="Normal"/>
        <w:rPr>
          <w:b/>
          <w:sz w:val="24"/>
          <w:u w:val="single"/>
        </w:rPr>
      </w:pPr>
      <w:r>
        <w:rPr>
          <w:b/>
          <w:sz w:val="24"/>
          <w:u w:val="single"/>
        </w:rPr>
        <w:t>b) Third Party Access to transmission grids and pipeline networks</w:t>
      </w:r>
    </w:p>
    <w:p>
      <w:pPr>
        <w:pStyle w:val="Normal"/>
        <w:rPr>
          <w:b/>
          <w:sz w:val="24"/>
          <w:u w:val="single"/>
        </w:rPr>
      </w:pPr>
      <w:r>
        <w:rPr>
          <w:b/>
          <w:sz w:val="24"/>
          <w:u w:val="single"/>
        </w:rPr>
      </w:r>
    </w:p>
    <w:p>
      <w:pPr>
        <w:pStyle w:val="Normal"/>
        <w:rPr>
          <w:b/>
          <w:sz w:val="24"/>
          <w:u w:val="single"/>
        </w:rPr>
      </w:pPr>
      <w:r>
        <w:rPr>
          <w:b/>
          <w:sz w:val="24"/>
          <w:u w:val="single"/>
        </w:rPr>
      </w:r>
    </w:p>
    <w:p>
      <w:pPr>
        <w:pStyle w:val="Normal"/>
        <w:numPr>
          <w:ilvl w:val="0"/>
          <w:numId w:val="15"/>
        </w:numPr>
        <w:rPr>
          <w:b/>
          <w:sz w:val="24"/>
        </w:rPr>
      </w:pPr>
      <w:r>
        <w:rPr>
          <w:b/>
          <w:sz w:val="24"/>
        </w:rPr>
        <w:t>Art. 16(1) (Electricity) &amp; Art. 14(1) (Gas)</w:t>
      </w:r>
      <w:r>
        <w:rPr>
          <w:sz w:val="24"/>
        </w:rPr>
        <w:t xml:space="preserve"> - Published and </w:t>
      </w:r>
      <w:r>
        <w:rPr>
          <w:b/>
          <w:sz w:val="24"/>
        </w:rPr>
        <w:t>regulated</w:t>
      </w:r>
      <w:r>
        <w:rPr>
          <w:sz w:val="24"/>
        </w:rPr>
        <w:t xml:space="preserve"> </w:t>
      </w:r>
      <w:r>
        <w:rPr>
          <w:sz w:val="24"/>
          <w:u w:val="single"/>
        </w:rPr>
        <w:t xml:space="preserve">transmission and distribution </w:t>
      </w:r>
      <w:r>
        <w:rPr>
          <w:sz w:val="24"/>
        </w:rPr>
        <w:t>tariffs to be applied under non-discriminatory terms and conditions to all system users (i.e. NTPA option abolished).</w:t>
      </w:r>
    </w:p>
    <w:p>
      <w:pPr>
        <w:pStyle w:val="Normal"/>
        <w:rPr>
          <w:b/>
          <w:sz w:val="24"/>
        </w:rPr>
      </w:pPr>
      <w:r>
        <w:rPr>
          <w:b/>
          <w:sz w:val="24"/>
        </w:rPr>
      </w:r>
    </w:p>
    <w:p>
      <w:pPr>
        <w:pStyle w:val="Normal"/>
        <w:numPr>
          <w:ilvl w:val="0"/>
          <w:numId w:val="15"/>
        </w:numPr>
        <w:rPr>
          <w:b/>
          <w:sz w:val="24"/>
        </w:rPr>
      </w:pPr>
      <w:r>
        <w:rPr>
          <w:b/>
          <w:sz w:val="24"/>
        </w:rPr>
        <w:t xml:space="preserve">Art. 15(1) (Gas) - </w:t>
      </w:r>
      <w:r>
        <w:rPr>
          <w:sz w:val="24"/>
        </w:rPr>
        <w:t xml:space="preserve">For the organisation of </w:t>
      </w:r>
      <w:r>
        <w:rPr>
          <w:sz w:val="24"/>
          <w:u w:val="single"/>
        </w:rPr>
        <w:t>access to storage and LNG facilities</w:t>
      </w:r>
      <w:r>
        <w:rPr>
          <w:sz w:val="24"/>
        </w:rPr>
        <w:t>, Member States may choose either (or both) negotiated access or regulated access (see (d) below).</w:t>
      </w:r>
    </w:p>
    <w:p>
      <w:pPr>
        <w:pStyle w:val="Normal"/>
        <w:rPr>
          <w:b/>
          <w:sz w:val="24"/>
        </w:rPr>
      </w:pPr>
      <w:r>
        <w:rPr>
          <w:b/>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 Regulation</w:t>
      </w:r>
    </w:p>
    <w:p>
      <w:pPr>
        <w:pStyle w:val="Normal"/>
        <w:rPr>
          <w:b/>
          <w:sz w:val="24"/>
          <w:u w:val="single"/>
        </w:rPr>
      </w:pPr>
      <w:r>
        <w:rPr>
          <w:b/>
          <w:sz w:val="24"/>
          <w:u w:val="single"/>
        </w:rPr>
      </w:r>
    </w:p>
    <w:p>
      <w:pPr>
        <w:pStyle w:val="Normal"/>
        <w:numPr>
          <w:ilvl w:val="0"/>
          <w:numId w:val="10"/>
        </w:numPr>
        <w:rPr>
          <w:b/>
          <w:sz w:val="24"/>
          <w:u w:val="single"/>
        </w:rPr>
      </w:pPr>
      <w:r>
        <w:rPr>
          <w:b/>
          <w:sz w:val="24"/>
        </w:rPr>
        <w:t>Art. 22(1)</w:t>
      </w:r>
      <w:r>
        <w:rPr>
          <w:sz w:val="24"/>
        </w:rPr>
        <w:t xml:space="preserve"> </w:t>
      </w:r>
      <w:r>
        <w:rPr>
          <w:b/>
          <w:sz w:val="24"/>
        </w:rPr>
        <w:t>(Gas &amp; Electricity)</w:t>
      </w:r>
      <w:r>
        <w:rPr>
          <w:sz w:val="24"/>
        </w:rPr>
        <w:t xml:space="preserve">- All Member States are required to establish </w:t>
      </w:r>
      <w:r>
        <w:rPr>
          <w:b/>
          <w:sz w:val="24"/>
          <w:u w:val="single"/>
        </w:rPr>
        <w:t xml:space="preserve">independent regulatory authorities </w:t>
      </w:r>
      <w:r>
        <w:rPr>
          <w:sz w:val="24"/>
        </w:rPr>
        <w:t xml:space="preserve">with an ex-ante power to set and/or approve transmission and distribution tariffs and conditions for access to gas and electricity networks. </w:t>
      </w:r>
    </w:p>
    <w:p>
      <w:pPr>
        <w:pStyle w:val="Normal"/>
        <w:rPr>
          <w:b/>
          <w:sz w:val="24"/>
          <w:u w:val="single"/>
        </w:rPr>
      </w:pPr>
      <w:r>
        <w:rPr>
          <w:b/>
          <w:sz w:val="24"/>
          <w:u w:val="single"/>
        </w:rPr>
      </w:r>
    </w:p>
    <w:p>
      <w:pPr>
        <w:pStyle w:val="Normal"/>
        <w:numPr>
          <w:ilvl w:val="0"/>
          <w:numId w:val="10"/>
        </w:numPr>
        <w:rPr>
          <w:b/>
          <w:sz w:val="24"/>
          <w:u w:val="single"/>
        </w:rPr>
      </w:pPr>
      <w:r>
        <w:rPr>
          <w:b/>
          <w:sz w:val="24"/>
        </w:rPr>
        <w:t>Art. 22(2)</w:t>
      </w:r>
      <w:r>
        <w:rPr>
          <w:sz w:val="24"/>
        </w:rPr>
        <w:t xml:space="preserve"> </w:t>
      </w:r>
      <w:r>
        <w:rPr>
          <w:b/>
          <w:sz w:val="24"/>
        </w:rPr>
        <w:t xml:space="preserve">(Gas &amp; Electricity) </w:t>
      </w:r>
      <w:r>
        <w:rPr>
          <w:sz w:val="24"/>
        </w:rPr>
        <w:t xml:space="preserve">- National regulatory authorities should safeguard that </w:t>
      </w:r>
      <w:r>
        <w:rPr>
          <w:b/>
          <w:sz w:val="24"/>
        </w:rPr>
        <w:t xml:space="preserve">tariffs are reflective of the costs </w:t>
      </w:r>
      <w:r>
        <w:rPr>
          <w:sz w:val="24"/>
        </w:rPr>
        <w:t>related to cross-border of electricity and gas transmission. These authorities shall also be responsible for the implementation of rules on the management and allocation of interconnection capacity.</w:t>
      </w:r>
    </w:p>
    <w:p>
      <w:pPr>
        <w:pStyle w:val="Normal"/>
        <w:rPr>
          <w:b/>
          <w:sz w:val="24"/>
          <w:u w:val="single"/>
        </w:rPr>
      </w:pPr>
      <w:r>
        <w:rPr>
          <w:b/>
          <w:sz w:val="24"/>
          <w:u w:val="single"/>
        </w:rPr>
      </w:r>
    </w:p>
    <w:p>
      <w:pPr>
        <w:pStyle w:val="Normal"/>
        <w:rPr>
          <w:sz w:val="24"/>
        </w:rPr>
      </w:pPr>
      <w:r>
        <w:rPr>
          <w:sz w:val="24"/>
        </w:rPr>
      </w:r>
    </w:p>
    <w:p>
      <w:pPr>
        <w:pStyle w:val="Normal"/>
        <w:rPr>
          <w:b/>
          <w:sz w:val="24"/>
          <w:u w:val="single"/>
        </w:rPr>
      </w:pPr>
      <w:r>
        <w:rPr>
          <w:b/>
          <w:sz w:val="24"/>
          <w:u w:val="single"/>
        </w:rPr>
        <w:t xml:space="preserve">d) Storage / Security of Supply in gas </w:t>
      </w:r>
    </w:p>
    <w:p>
      <w:pPr>
        <w:pStyle w:val="Normal"/>
        <w:rPr>
          <w:b/>
          <w:sz w:val="24"/>
          <w:u w:val="single"/>
        </w:rPr>
      </w:pPr>
      <w:r>
        <w:rPr>
          <w:b/>
          <w:sz w:val="24"/>
          <w:u w:val="single"/>
        </w:rPr>
      </w:r>
    </w:p>
    <w:p>
      <w:pPr>
        <w:pStyle w:val="Normal"/>
        <w:numPr>
          <w:ilvl w:val="0"/>
          <w:numId w:val="12"/>
        </w:numPr>
        <w:rPr>
          <w:sz w:val="24"/>
        </w:rPr>
      </w:pPr>
      <w:r>
        <w:rPr>
          <w:b/>
          <w:sz w:val="24"/>
        </w:rPr>
        <w:t xml:space="preserve">Art. 7(1) (Gas) -  </w:t>
      </w:r>
      <w:r>
        <w:rPr>
          <w:sz w:val="24"/>
        </w:rPr>
        <w:t>To guarantee security of supply, Member States should designate (or require designation of) one or more system operators to be responsible for operating, maintaining and developing the transmission, storage and LNG facilities.</w:t>
      </w:r>
    </w:p>
    <w:p>
      <w:pPr>
        <w:pStyle w:val="Normal"/>
        <w:rPr>
          <w:sz w:val="24"/>
        </w:rPr>
      </w:pPr>
      <w:r>
        <w:rPr>
          <w:sz w:val="24"/>
        </w:rPr>
      </w:r>
    </w:p>
    <w:p>
      <w:pPr>
        <w:pStyle w:val="Normal"/>
        <w:numPr>
          <w:ilvl w:val="0"/>
          <w:numId w:val="13"/>
        </w:numPr>
        <w:rPr>
          <w:sz w:val="24"/>
        </w:rPr>
      </w:pPr>
      <w:r>
        <w:rPr>
          <w:b/>
          <w:sz w:val="24"/>
        </w:rPr>
        <w:t>Art. 7(3)</w:t>
      </w:r>
      <w:r>
        <w:rPr>
          <w:sz w:val="24"/>
        </w:rPr>
        <w:t xml:space="preserve"> </w:t>
      </w:r>
      <w:r>
        <w:rPr>
          <w:b/>
          <w:sz w:val="24"/>
        </w:rPr>
        <w:t>(Gas)</w:t>
      </w:r>
      <w:r>
        <w:rPr>
          <w:sz w:val="24"/>
        </w:rPr>
        <w:t xml:space="preserve"> - The transmission, storage and LNG operator should </w:t>
      </w:r>
      <w:r>
        <w:rPr>
          <w:sz w:val="24"/>
          <w:u w:val="single"/>
        </w:rPr>
        <w:t>not discriminate</w:t>
      </w:r>
      <w:r>
        <w:rPr>
          <w:sz w:val="24"/>
        </w:rPr>
        <w:t xml:space="preserve"> between system users, particularly in favour of its related undertakings.</w:t>
      </w:r>
    </w:p>
    <w:p>
      <w:pPr>
        <w:pStyle w:val="Normal"/>
        <w:rPr>
          <w:sz w:val="24"/>
        </w:rPr>
      </w:pPr>
      <w:r>
        <w:rPr>
          <w:sz w:val="24"/>
        </w:rPr>
      </w:r>
    </w:p>
    <w:p>
      <w:pPr>
        <w:pStyle w:val="Normal"/>
        <w:numPr>
          <w:ilvl w:val="0"/>
          <w:numId w:val="11"/>
        </w:numPr>
        <w:rPr>
          <w:sz w:val="24"/>
        </w:rPr>
      </w:pPr>
      <w:r>
        <w:rPr>
          <w:sz w:val="24"/>
        </w:rPr>
        <w:t xml:space="preserve">Gas companies will be obliged to create </w:t>
      </w:r>
      <w:r>
        <w:rPr>
          <w:sz w:val="24"/>
          <w:u w:val="single"/>
        </w:rPr>
        <w:t xml:space="preserve">separate administrative </w:t>
      </w:r>
      <w:r>
        <w:rPr>
          <w:sz w:val="24"/>
        </w:rPr>
        <w:t>units responsible for the operation of storage and LNG. No legal unbundling requirement for these activities.</w:t>
      </w:r>
    </w:p>
    <w:p>
      <w:pPr>
        <w:pStyle w:val="Normal"/>
        <w:rPr>
          <w:sz w:val="24"/>
        </w:rPr>
      </w:pPr>
      <w:r>
        <w:rPr>
          <w:sz w:val="24"/>
        </w:rPr>
      </w:r>
    </w:p>
    <w:p>
      <w:pPr>
        <w:pStyle w:val="Normal"/>
        <w:numPr>
          <w:ilvl w:val="0"/>
          <w:numId w:val="6"/>
        </w:numPr>
        <w:rPr>
          <w:sz w:val="24"/>
        </w:rPr>
      </w:pPr>
      <w:r>
        <w:rPr>
          <w:b/>
          <w:sz w:val="24"/>
        </w:rPr>
        <w:t xml:space="preserve">Art. 15(3) (Gas) - </w:t>
      </w:r>
      <w:r>
        <w:rPr>
          <w:sz w:val="24"/>
        </w:rPr>
        <w:t xml:space="preserve">In cases of both negotiated and regulated TPA to storage/LNG, the basic principles of objectivity, transparency and non-discrimination are stressed. Under negotiated access, main commercial conditions must be published </w:t>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t>e) Reciprocity / trade with third countries</w:t>
      </w:r>
    </w:p>
    <w:p>
      <w:pPr>
        <w:pStyle w:val="Normal"/>
        <w:rPr>
          <w:b/>
          <w:sz w:val="24"/>
          <w:u w:val="single"/>
        </w:rPr>
      </w:pPr>
      <w:r>
        <w:rPr>
          <w:b/>
          <w:sz w:val="24"/>
          <w:u w:val="single"/>
        </w:rPr>
      </w:r>
    </w:p>
    <w:p>
      <w:pPr>
        <w:pStyle w:val="BodyText3"/>
        <w:numPr>
          <w:ilvl w:val="0"/>
          <w:numId w:val="19"/>
        </w:numPr>
        <w:rPr/>
      </w:pPr>
      <w:r>
        <w:rPr/>
        <w:t xml:space="preserve">With respect to the </w:t>
      </w:r>
      <w:r>
        <w:rPr>
          <w:b/>
        </w:rPr>
        <w:t>reciprocity provision</w:t>
      </w:r>
      <w:r>
        <w:rPr/>
        <w:t xml:space="preserve"> regarding </w:t>
      </w:r>
      <w:r>
        <w:rPr>
          <w:b/>
        </w:rPr>
        <w:t>intra-EU trade</w:t>
      </w:r>
      <w:r>
        <w:rPr/>
        <w:t xml:space="preserve"> (contained in </w:t>
      </w:r>
      <w:r>
        <w:rPr>
          <w:b/>
        </w:rPr>
        <w:t>Art. 19</w:t>
      </w:r>
      <w:r>
        <w:rPr/>
        <w:t xml:space="preserve"> of both Directives), given that it is now required that all Member States must designate all customers eligible by </w:t>
      </w:r>
      <w:r>
        <w:rPr>
          <w:b/>
        </w:rPr>
        <w:t>1 January 2005</w:t>
      </w:r>
      <w:r>
        <w:rPr/>
        <w:t>, the articles become invalid on that date. Until then, provisions regarding reciprocity remain the same as in the current Directives.</w:t>
      </w:r>
    </w:p>
    <w:p>
      <w:pPr>
        <w:pStyle w:val="BodyText3"/>
        <w:rPr/>
      </w:pPr>
      <w:r>
        <w:rPr/>
      </w:r>
    </w:p>
    <w:p>
      <w:pPr>
        <w:pStyle w:val="BodyText3"/>
        <w:numPr>
          <w:ilvl w:val="0"/>
          <w:numId w:val="8"/>
        </w:numPr>
        <w:rPr/>
      </w:pPr>
      <w:r>
        <w:rPr>
          <w:b/>
        </w:rPr>
        <w:t>Art. 23 (Electricity) -</w:t>
      </w:r>
      <w:r>
        <w:rPr/>
        <w:t xml:space="preserve"> With respect to the </w:t>
      </w:r>
      <w:r>
        <w:rPr>
          <w:b/>
        </w:rPr>
        <w:t>electricity imports from non-EU countries</w:t>
      </w:r>
      <w:r>
        <w:rPr/>
        <w:t>, Member States should inform the Commission by 31</w:t>
      </w:r>
      <w:r>
        <w:rPr>
          <w:vertAlign w:val="superscript"/>
        </w:rPr>
        <w:t>st</w:t>
      </w:r>
      <w:r>
        <w:rPr/>
        <w:t xml:space="preserve"> March of each year of imports that have taken place during the previous calendar year. In its Communication to the Council and the European Parliament on Completing the internal energy market (to be presented to the Council along with this draft proposal for the Directive) this requirement is presented as an intermediate approach. This approach is intended to allow subsidiarity as to how the legal framework for trade in electricity is enforced in practice by Member States. The Commission reserves the option of revisiting this subsidiarity approach if the experience is not satisfactory.</w:t>
      </w:r>
    </w:p>
    <w:p>
      <w:pPr>
        <w:pStyle w:val="BodyText3"/>
        <w:rPr/>
      </w:pPr>
      <w:r>
        <w:rPr/>
      </w:r>
    </w:p>
    <w:p>
      <w:pPr>
        <w:pStyle w:val="BodyText3"/>
        <w:rPr/>
      </w:pPr>
      <w:r>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t>f) Transit</w:t>
      </w:r>
    </w:p>
    <w:p>
      <w:pPr>
        <w:pStyle w:val="BodyText3"/>
        <w:rPr>
          <w:b/>
          <w:u w:val="single"/>
        </w:rPr>
      </w:pPr>
      <w:r>
        <w:rPr>
          <w:b/>
          <w:u w:val="single"/>
        </w:rPr>
      </w:r>
    </w:p>
    <w:p>
      <w:pPr>
        <w:pStyle w:val="BodyText3"/>
        <w:numPr>
          <w:ilvl w:val="0"/>
          <w:numId w:val="20"/>
        </w:numPr>
        <w:rPr/>
      </w:pPr>
      <w:r>
        <w:rPr/>
        <w:t xml:space="preserve">Transit Directives are repealed. It says in the explanatory memorandum: “transmission system operators shall, if necessary and for the purpose of carrying out their functions including in relation to transit, have access to the network of other transmission system operators based on the same conditions and principles as those applicable to other system users.” </w:t>
      </w:r>
    </w:p>
    <w:p>
      <w:pPr>
        <w:pStyle w:val="BodyText3"/>
        <w:rPr/>
      </w:pPr>
      <w:r>
        <w:rPr/>
      </w:r>
    </w:p>
    <w:p>
      <w:pPr>
        <w:pStyle w:val="Normal"/>
        <w:numPr>
          <w:ilvl w:val="0"/>
          <w:numId w:val="3"/>
        </w:numPr>
        <w:rPr>
          <w:sz w:val="24"/>
        </w:rPr>
      </w:pPr>
      <w:r>
        <w:rPr>
          <w:b/>
          <w:sz w:val="24"/>
        </w:rPr>
        <w:t>Art. 8(5) (Electricity) &amp; Art. 7(5) (Gas)</w:t>
      </w:r>
      <w:r>
        <w:rPr>
          <w:sz w:val="24"/>
        </w:rPr>
        <w:t xml:space="preserve"> - Member States may require TSO to meet minimum level of investment for the maintenance and development of the transmission system, including interconnector capacity.</w:t>
      </w:r>
    </w:p>
    <w:p>
      <w:pPr>
        <w:pStyle w:val="Normal"/>
        <w:rPr>
          <w:b/>
          <w:sz w:val="24"/>
        </w:rPr>
      </w:pPr>
      <w:r>
        <w:rPr>
          <w:b/>
          <w:sz w:val="24"/>
        </w:rPr>
      </w:r>
    </w:p>
    <w:p>
      <w:pPr>
        <w:pStyle w:val="Normal"/>
        <w:numPr>
          <w:ilvl w:val="0"/>
          <w:numId w:val="14"/>
        </w:numPr>
        <w:rPr>
          <w:sz w:val="24"/>
        </w:rPr>
      </w:pPr>
      <w:r>
        <w:rPr>
          <w:sz w:val="24"/>
        </w:rPr>
        <w:t>Cross-border and interconnections issues are covered in detail by a separate draft Regulation on Conditions for Access to the Network for Cross-border Exchanges in Electricity in the Internal Electricity Market (</w:t>
      </w:r>
      <w:r>
        <w:rPr>
          <w:i/>
          <w:sz w:val="24"/>
        </w:rPr>
        <w:t>separate summary to come</w:t>
      </w:r>
      <w:r>
        <w:rPr>
          <w:sz w:val="24"/>
        </w:rPr>
        <w:t>).</w:t>
      </w:r>
    </w:p>
    <w:p>
      <w:pPr>
        <w:pStyle w:val="BodyText3"/>
        <w:rPr>
          <w:sz w:val="24"/>
        </w:rPr>
      </w:pPr>
      <w:r>
        <w:rPr>
          <w:sz w:val="24"/>
        </w:rPr>
      </w:r>
    </w:p>
    <w:p>
      <w:pPr>
        <w:pStyle w:val="BodyText3"/>
        <w:rPr/>
      </w:pPr>
      <w:r>
        <w:rPr/>
      </w:r>
    </w:p>
    <w:p>
      <w:pPr>
        <w:pStyle w:val="BodyText3"/>
        <w:rPr>
          <w:b/>
          <w:u w:val="single"/>
        </w:rPr>
      </w:pPr>
      <w:r>
        <w:rPr>
          <w:b/>
          <w:u w:val="single"/>
        </w:rPr>
        <w:t>g) New generating capacity</w:t>
      </w:r>
    </w:p>
    <w:p>
      <w:pPr>
        <w:pStyle w:val="BodyText3"/>
        <w:rPr>
          <w:b/>
          <w:u w:val="single"/>
        </w:rPr>
      </w:pPr>
      <w:r>
        <w:rPr>
          <w:b/>
          <w:u w:val="single"/>
        </w:rPr>
      </w:r>
    </w:p>
    <w:p>
      <w:pPr>
        <w:pStyle w:val="BodyText3"/>
        <w:numPr>
          <w:ilvl w:val="0"/>
          <w:numId w:val="9"/>
        </w:numPr>
        <w:rPr/>
      </w:pPr>
      <w:r>
        <w:rPr>
          <w:b/>
        </w:rPr>
        <w:t>Art. 5</w:t>
      </w:r>
      <w:r>
        <w:rPr/>
        <w:t xml:space="preserve"> </w:t>
      </w:r>
      <w:r>
        <w:rPr>
          <w:b/>
        </w:rPr>
        <w:t xml:space="preserve">(Electricity) </w:t>
      </w:r>
      <w:r>
        <w:rPr/>
        <w:t xml:space="preserve">- All Member States should adopt an </w:t>
      </w:r>
      <w:r>
        <w:rPr>
          <w:b/>
        </w:rPr>
        <w:t>authorisation</w:t>
      </w:r>
      <w:r>
        <w:rPr/>
        <w:t xml:space="preserve"> procedure, which shall be conducted in accordance with objective, transparent and non-discriminatory criteria. </w:t>
      </w:r>
    </w:p>
    <w:p>
      <w:pPr>
        <w:pStyle w:val="BodyText3"/>
        <w:numPr>
          <w:ilvl w:val="0"/>
          <w:numId w:val="9"/>
        </w:numPr>
        <w:rPr/>
      </w:pPr>
      <w:r>
        <w:rPr>
          <w:b/>
        </w:rPr>
        <w:t>Art</w:t>
      </w:r>
      <w:r>
        <w:rPr/>
        <w:t xml:space="preserve">. </w:t>
      </w:r>
      <w:r>
        <w:rPr>
          <w:b/>
        </w:rPr>
        <w:t>6(1)</w:t>
      </w:r>
      <w:r>
        <w:rPr/>
        <w:t xml:space="preserve"> </w:t>
      </w:r>
      <w:r>
        <w:rPr>
          <w:b/>
        </w:rPr>
        <w:t xml:space="preserve">(Electricity) </w:t>
      </w:r>
      <w:r>
        <w:rPr/>
        <w:t xml:space="preserve">-The tendering procedure with respect to generation will be deleted, except as a back-up provision that might be used only for reasons of security of supply. </w:t>
      </w:r>
    </w:p>
    <w:p>
      <w:pPr>
        <w:pStyle w:val="BodyText3"/>
        <w:rPr/>
      </w:pPr>
      <w:r>
        <w:rPr/>
      </w:r>
    </w:p>
    <w:p>
      <w:pPr>
        <w:pStyle w:val="BodyText3"/>
        <w:rPr/>
      </w:pPr>
      <w:r>
        <w:rPr/>
      </w:r>
    </w:p>
    <w:p>
      <w:pPr>
        <w:pStyle w:val="BodyText3"/>
        <w:rPr>
          <w:b/>
          <w:u w:val="single"/>
        </w:rPr>
      </w:pPr>
      <w:r>
        <w:rPr>
          <w:b/>
          <w:u w:val="single"/>
        </w:rPr>
        <w:t xml:space="preserve">h) Public service </w:t>
      </w:r>
    </w:p>
    <w:p>
      <w:pPr>
        <w:pStyle w:val="BodyText3"/>
        <w:rPr>
          <w:b/>
          <w:u w:val="single"/>
        </w:rPr>
      </w:pPr>
      <w:r>
        <w:rPr>
          <w:b/>
          <w:u w:val="single"/>
        </w:rPr>
      </w:r>
    </w:p>
    <w:p>
      <w:pPr>
        <w:pStyle w:val="BodyText3"/>
        <w:numPr>
          <w:ilvl w:val="0"/>
          <w:numId w:val="18"/>
        </w:numPr>
        <w:rPr/>
      </w:pPr>
      <w:r>
        <w:rPr>
          <w:b/>
        </w:rPr>
        <w:t>Art. 3(2)</w:t>
      </w:r>
      <w:r>
        <w:rPr/>
        <w:t xml:space="preserve"> </w:t>
      </w:r>
      <w:r>
        <w:rPr>
          <w:b/>
        </w:rPr>
        <w:t xml:space="preserve">(Gas &amp; Electricity) </w:t>
      </w:r>
      <w:r>
        <w:rPr/>
        <w:t>– The general public service provision is retained in its current form -Member States may impose on electricity and gas undertakings public service obligations which may relate to security, including security of supply, regularity, quality and price of supplies and to environmental protection.</w:t>
      </w:r>
    </w:p>
    <w:p>
      <w:pPr>
        <w:pStyle w:val="BodyText3"/>
        <w:rPr>
          <w:b/>
        </w:rPr>
      </w:pPr>
      <w:r>
        <w:rPr>
          <w:b/>
        </w:rPr>
      </w:r>
    </w:p>
    <w:p>
      <w:pPr>
        <w:pStyle w:val="BodyText3"/>
        <w:numPr>
          <w:ilvl w:val="0"/>
          <w:numId w:val="21"/>
        </w:numPr>
        <w:rPr/>
      </w:pPr>
      <w:r>
        <w:rPr>
          <w:b/>
        </w:rPr>
        <w:t>Art. 3(3)</w:t>
      </w:r>
      <w:r>
        <w:rPr/>
        <w:t xml:space="preserve"> </w:t>
      </w:r>
      <w:r>
        <w:rPr>
          <w:b/>
        </w:rPr>
        <w:t>(Electricity)</w:t>
      </w:r>
      <w:r>
        <w:rPr/>
        <w:t xml:space="preserve"> - A separate provision on </w:t>
      </w:r>
      <w:r>
        <w:rPr>
          <w:u w:val="single"/>
        </w:rPr>
        <w:t>universal service</w:t>
      </w:r>
      <w:r>
        <w:rPr/>
        <w:t xml:space="preserve"> has been added. Member States should in particular ensure that all customers enjoy the right to be supplied with electricity of a specified quality within their territory at affordable and reasonable prices.</w:t>
      </w:r>
    </w:p>
    <w:p>
      <w:pPr>
        <w:pStyle w:val="BodyText3"/>
        <w:rPr/>
      </w:pPr>
      <w:r>
        <w:rPr/>
      </w:r>
    </w:p>
    <w:p>
      <w:pPr>
        <w:pStyle w:val="BodyText3"/>
        <w:numPr>
          <w:ilvl w:val="0"/>
          <w:numId w:val="22"/>
        </w:numPr>
        <w:rPr/>
      </w:pPr>
      <w:r>
        <w:rPr>
          <w:b/>
        </w:rPr>
        <w:t xml:space="preserve">Art. 3(6) (Gas &amp; Electricity) </w:t>
      </w:r>
      <w:r>
        <w:rPr/>
        <w:t>- The Commission shall publish on a bi-annual basis a report analysing the different measures taken by Member States in respect of public service obligations (benchmarking).</w:t>
      </w:r>
    </w:p>
    <w:p>
      <w:pPr>
        <w:pStyle w:val="BodyText3"/>
        <w:rPr/>
      </w:pPr>
      <w:r>
        <w:rPr/>
      </w:r>
    </w:p>
    <w:p>
      <w:pPr>
        <w:pStyle w:val="BodyText3"/>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-38100</wp:posOffset>
                </wp:positionH>
                <wp:positionV relativeFrom="paragraph">
                  <wp:posOffset>29210</wp:posOffset>
                </wp:positionV>
                <wp:extent cx="2651760" cy="0"/>
                <wp:effectExtent l="0" t="5080" r="0" b="5080"/>
                <wp:wrapNone/>
                <wp:docPr id="2"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pt,2.3pt" to="205.75pt,2.3pt" stroked="t" o:allowincell="f" style="position:absolute">
                <v:stroke color="black" weight="9360" joinstyle="miter" endcap="flat"/>
                <v:fill o:detectmouseclick="t" on="false"/>
                <w10:wrap type="none"/>
              </v:line>
            </w:pict>
          </mc:Fallback>
        </mc:AlternateContent>
      </w:r>
    </w:p>
    <w:p>
      <w:pPr>
        <w:pStyle w:val="BodyText3"/>
        <w:rPr/>
      </w:pPr>
      <w:r>
        <w:rPr/>
      </w:r>
    </w:p>
    <w:p>
      <w:pPr>
        <w:pStyle w:val="BodyText3"/>
        <w:tabs>
          <w:tab w:val="clear" w:pos="720"/>
          <w:tab w:val="left" w:pos="5670" w:leader="none"/>
        </w:tabs>
        <w:spacing w:lineRule="auto" w:line="360"/>
        <w:rPr>
          <w:b/>
        </w:rPr>
      </w:pPr>
      <w:r>
        <w:rPr>
          <w:b/>
        </w:rPr>
        <w:tab/>
        <w:t>Nailia Dindarova</w:t>
      </w:r>
    </w:p>
    <w:p>
      <w:pPr>
        <w:pStyle w:val="BodyText3"/>
        <w:tabs>
          <w:tab w:val="clear" w:pos="720"/>
          <w:tab w:val="left" w:pos="5670" w:leader="none"/>
        </w:tabs>
        <w:spacing w:lineRule="auto" w:line="360"/>
        <w:ind w:firstLine="720" w:start="720" w:end="0"/>
        <w:rPr>
          <w:b/>
        </w:rPr>
      </w:pPr>
      <w:r>
        <w:rPr>
          <w:b/>
        </w:rPr>
        <w:tab/>
        <w:t>February 8, 2001</w:t>
      </w:r>
    </w:p>
    <w:p>
      <w:pPr>
        <w:pStyle w:val="BodyText3"/>
        <w:rPr>
          <w:b/>
          <w:u w:val="single"/>
        </w:rPr>
      </w:pPr>
      <w:r>
        <w:rPr>
          <w:b/>
          <w:u w:val="single"/>
        </w:rPr>
        <w:t>Attachments:</w:t>
      </w:r>
    </w:p>
    <w:p>
      <w:pPr>
        <w:pStyle w:val="BodyText3"/>
        <w:rPr>
          <w:b/>
          <w:u w:val="single"/>
        </w:rPr>
      </w:pPr>
      <w:r>
        <w:rPr>
          <w:b/>
          <w:u w:val="single"/>
        </w:rPr>
      </w:r>
    </w:p>
    <w:p>
      <w:pPr>
        <w:pStyle w:val="BodyText3"/>
        <w:rPr/>
      </w:pPr>
      <w:r>
        <w:rPr/>
        <w:t>Draft proposal for a Directive amending Directives 96/92/EC and 98/30/EC concerning common rules for the internal market in electricity and natural gas (18/01/01)</w:t>
      </w:r>
    </w:p>
    <w:sectPr>
      <w:type w:val="nextPage"/>
      <w:pgSz w:w="11906" w:h="16838"/>
      <w:pgMar w:left="1644" w:right="1474" w:gutter="0" w:header="0" w:top="1191" w:footer="0" w:bottom="119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eorg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bullet"/>
      <w:lvlText w:val=""/>
      <w:lvlJc w:val="start"/>
      <w:pPr>
        <w:tabs>
          <w:tab w:val="num" w:pos="360"/>
        </w:tabs>
        <w:ind w:start="360" w:hanging="360"/>
      </w:pPr>
      <w:rPr>
        <w:rFonts w:ascii="Wingdings" w:hAnsi="Wingdings" w:cs="Wingdings" w:hint="default"/>
        <w:sz w:val="16"/>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5">
    <w:lvl w:ilvl="0">
      <w:start w:val="1"/>
      <w:numFmt w:val="bullet"/>
      <w:lvlText w:val=""/>
      <w:lvlJc w:val="start"/>
      <w:pPr>
        <w:tabs>
          <w:tab w:val="num" w:pos="360"/>
        </w:tabs>
        <w:ind w:start="360" w:hanging="360"/>
      </w:pPr>
      <w:rPr>
        <w:rFonts w:ascii="Wingdings" w:hAnsi="Wingdings" w:cs="Wingdings" w:hint="default"/>
        <w:sz w:val="16"/>
      </w:rPr>
    </w:lvl>
  </w:abstractNum>
  <w:abstractNum w:abstractNumId="16">
    <w:lvl w:ilvl="0">
      <w:start w:val="1"/>
      <w:numFmt w:val="bullet"/>
      <w:lvlText w:val=""/>
      <w:lvlJc w:val="start"/>
      <w:pPr>
        <w:tabs>
          <w:tab w:val="num" w:pos="360"/>
        </w:tabs>
        <w:ind w:start="360" w:hanging="360"/>
      </w:pPr>
      <w:rPr>
        <w:rFonts w:ascii="Wingdings" w:hAnsi="Wingdings" w:cs="Wingdings" w:hint="default"/>
        <w:sz w:val="16"/>
      </w:rPr>
    </w:lvl>
  </w:abstractNum>
  <w:abstractNum w:abstractNumId="17">
    <w:lvl w:ilvl="0">
      <w:start w:val="1"/>
      <w:numFmt w:val="bullet"/>
      <w:lvlText w:val=""/>
      <w:lvlJc w:val="start"/>
      <w:pPr>
        <w:tabs>
          <w:tab w:val="num" w:pos="360"/>
        </w:tabs>
        <w:ind w:start="360" w:hanging="360"/>
      </w:pPr>
      <w:rPr>
        <w:rFonts w:ascii="Wingdings" w:hAnsi="Wingdings" w:cs="Wingdings" w:hint="default"/>
        <w:sz w:val="16"/>
      </w:rPr>
    </w:lvl>
  </w:abstractNum>
  <w:abstractNum w:abstractNumId="18">
    <w:lvl w:ilvl="0">
      <w:start w:val="1"/>
      <w:numFmt w:val="bullet"/>
      <w:lvlText w:val=""/>
      <w:lvlJc w:val="start"/>
      <w:pPr>
        <w:tabs>
          <w:tab w:val="num" w:pos="360"/>
        </w:tabs>
        <w:ind w:start="360" w:hanging="360"/>
      </w:pPr>
      <w:rPr>
        <w:rFonts w:ascii="Wingdings" w:hAnsi="Wingdings" w:cs="Wingdings" w:hint="default"/>
        <w:sz w:val="16"/>
      </w:rPr>
    </w:lvl>
  </w:abstractNum>
  <w:abstractNum w:abstractNumId="19">
    <w:lvl w:ilvl="0">
      <w:start w:val="1"/>
      <w:numFmt w:val="bullet"/>
      <w:lvlText w:val=""/>
      <w:lvlJc w:val="start"/>
      <w:pPr>
        <w:tabs>
          <w:tab w:val="num" w:pos="360"/>
        </w:tabs>
        <w:ind w:start="360" w:hanging="360"/>
      </w:pPr>
      <w:rPr>
        <w:rFonts w:ascii="Wingdings" w:hAnsi="Wingdings" w:cs="Wingdings" w:hint="default"/>
        <w:sz w:val="16"/>
      </w:rPr>
    </w:lvl>
  </w:abstractNum>
  <w:abstractNum w:abstractNumId="20">
    <w:lvl w:ilvl="0">
      <w:start w:val="1"/>
      <w:numFmt w:val="bullet"/>
      <w:lvlText w:val=""/>
      <w:lvlJc w:val="start"/>
      <w:pPr>
        <w:tabs>
          <w:tab w:val="num" w:pos="360"/>
        </w:tabs>
        <w:ind w:start="360" w:hanging="360"/>
      </w:pPr>
      <w:rPr>
        <w:rFonts w:ascii="Wingdings" w:hAnsi="Wingdings" w:cs="Wingdings" w:hint="default"/>
        <w:sz w:val="16"/>
      </w:rPr>
    </w:lvl>
  </w:abstractNum>
  <w:abstractNum w:abstractNumId="21">
    <w:lvl w:ilvl="0">
      <w:start w:val="1"/>
      <w:numFmt w:val="bullet"/>
      <w:lvlText w:val=""/>
      <w:lvlJc w:val="start"/>
      <w:pPr>
        <w:tabs>
          <w:tab w:val="num" w:pos="360"/>
        </w:tabs>
        <w:ind w:start="360" w:hanging="360"/>
      </w:pPr>
      <w:rPr>
        <w:rFonts w:ascii="Wingdings" w:hAnsi="Wingdings" w:cs="Wingdings" w:hint="default"/>
        <w:sz w:val="16"/>
      </w:rPr>
    </w:lvl>
  </w:abstractNum>
  <w:abstractNum w:abstractNumId="22">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mallCaps/>
      <w:sz w:val="28"/>
      <w:u w:val="single"/>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sz w:val="16"/>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sz w:val="16"/>
    </w:rPr>
  </w:style>
  <w:style w:type="character" w:styleId="WW8Num28z0">
    <w:name w:val="WW8Num28z0"/>
    <w:qFormat/>
    <w:rPr>
      <w:rFonts w:ascii="Wingdings" w:hAnsi="Wingdings" w:cs="Wingdings"/>
      <w:sz w:val="16"/>
    </w:rPr>
  </w:style>
  <w:style w:type="character" w:styleId="WW8Num29z0">
    <w:name w:val="WW8Num29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mallCap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sz w:val="24"/>
    </w:rPr>
  </w:style>
  <w:style w:type="paragraph" w:styleId="BodyText3">
    <w:name w:val="Body Text 3"/>
    <w:basedOn w:val="Normal"/>
    <w:qFormat/>
    <w:pPr/>
    <w:rPr>
      <w:sz w:val="24"/>
    </w:rPr>
  </w:style>
  <w:style w:type="paragraph" w:styleId="Titreobjet">
    <w:name w:val="Titre objet"/>
    <w:basedOn w:val="Normal"/>
    <w:next w:val="Normal"/>
    <w:qFormat/>
    <w:pPr>
      <w:spacing w:before="360" w:after="360"/>
      <w:jc w:val="center"/>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2001-02-08T09:38:00Z</dcterms:created>
  <dc:creator>ndindaro</dc:creator>
  <dc:description/>
  <dc:language>en-CA</dc:language>
  <cp:lastModifiedBy>ndindaro</cp:lastModifiedBy>
  <cp:lastPrinted>2001-02-08T12:08:00Z</cp:lastPrinted>
  <dcterms:modified xsi:type="dcterms:W3CDTF">2001-02-08T11:54:00Z</dcterms:modified>
  <cp:revision>3</cp:revision>
  <dc:subject/>
  <dc:title>EUROPEAN COMMISSION’S PROPOSAL </dc:title>
</cp:coreProperties>
</file>