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24"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Book Administrators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Michael Moscoso</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Risk Management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New Curves Process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Department"/>
        <w:jc w:val="both"/>
        <w:rPr/>
      </w:pPr>
      <w:r>
        <w:rPr/>
        <w:t xml:space="preserve">One of our weaknesses as a Global Risk operation is the communication between groups when a new curve is created and input into our trading systems.  New curves have many effects on the organization, including benchmark position reporting, value at risk calculations, credit exposure aggregation, EOL, etc.  </w:t>
      </w:r>
    </w:p>
    <w:p>
      <w:pPr>
        <w:pStyle w:val="Department"/>
        <w:jc w:val="both"/>
        <w:rPr/>
      </w:pPr>
      <w:r>
        <w:rPr/>
      </w:r>
    </w:p>
    <w:p>
      <w:pPr>
        <w:pStyle w:val="Department"/>
        <w:jc w:val="both"/>
        <w:rPr/>
      </w:pPr>
      <w:r>
        <w:rPr/>
        <w:t>In order to improve the overall process, we are implementing the following procedures whenever a new curve is created in the trading systems:</w:t>
      </w:r>
    </w:p>
    <w:p>
      <w:pPr>
        <w:pStyle w:val="Department"/>
        <w:jc w:val="both"/>
        <w:rPr/>
      </w:pPr>
      <w:r>
        <w:rPr/>
      </w:r>
    </w:p>
    <w:p>
      <w:pPr>
        <w:pStyle w:val="Department"/>
        <w:numPr>
          <w:ilvl w:val="0"/>
          <w:numId w:val="2"/>
        </w:numPr>
        <w:jc w:val="both"/>
        <w:rPr/>
      </w:pPr>
      <w:r>
        <w:rPr/>
        <w:t>A new curve is needed in the trading system</w:t>
      </w:r>
    </w:p>
    <w:p>
      <w:pPr>
        <w:pStyle w:val="Department"/>
        <w:numPr>
          <w:ilvl w:val="0"/>
          <w:numId w:val="2"/>
        </w:numPr>
        <w:jc w:val="both"/>
        <w:rPr/>
      </w:pPr>
      <w:r>
        <w:rPr/>
        <w:t>Book Administrator sets up the new curve in the trading system</w:t>
      </w:r>
    </w:p>
    <w:p>
      <w:pPr>
        <w:pStyle w:val="Department"/>
        <w:numPr>
          <w:ilvl w:val="0"/>
          <w:numId w:val="2"/>
        </w:numPr>
        <w:jc w:val="both"/>
        <w:rPr/>
      </w:pPr>
      <w:r>
        <w:rPr/>
        <w:t>Book administrator completes “New Curve Setup Form” (see attached)</w:t>
      </w:r>
    </w:p>
    <w:p>
      <w:pPr>
        <w:pStyle w:val="Department"/>
        <w:numPr>
          <w:ilvl w:val="0"/>
          <w:numId w:val="2"/>
        </w:numPr>
        <w:jc w:val="both"/>
        <w:rPr/>
      </w:pPr>
      <w:r>
        <w:rPr/>
        <w:t>Book Administrator forwards completed “New Curve Setup Form” to Risk Analysis &amp; Reporting</w:t>
      </w:r>
    </w:p>
    <w:p>
      <w:pPr>
        <w:pStyle w:val="Department"/>
        <w:numPr>
          <w:ilvl w:val="0"/>
          <w:numId w:val="2"/>
        </w:numPr>
        <w:jc w:val="both"/>
        <w:rPr/>
      </w:pPr>
      <w:r>
        <w:rPr/>
        <w:t>Risk Analysis &amp; Reporting  adds new curve to the GRMS system (Benchmark Definitions and Value at Risk)</w:t>
      </w:r>
    </w:p>
    <w:p>
      <w:pPr>
        <w:pStyle w:val="Department"/>
        <w:numPr>
          <w:ilvl w:val="0"/>
          <w:numId w:val="2"/>
        </w:numPr>
        <w:jc w:val="both"/>
        <w:rPr/>
      </w:pPr>
      <w:r>
        <w:rPr/>
        <w:t>Risk Analysis &amp; Reporting forwards a copy of each “New Curve Setup Form” to other groups as needed (i.e. RAC, Credit, EOL, Global Systems, etc.)</w:t>
      </w:r>
    </w:p>
    <w:p>
      <w:pPr>
        <w:pStyle w:val="Department"/>
        <w:jc w:val="both"/>
        <w:rPr/>
      </w:pPr>
      <w:r>
        <w:rPr/>
      </w:r>
    </w:p>
    <w:p>
      <w:pPr>
        <w:pStyle w:val="Department"/>
        <w:jc w:val="both"/>
        <w:rPr/>
      </w:pPr>
      <w:r>
        <w:rPr/>
        <w:t>The recommended procedure above will enable the proper processing of a new curve throughout all our systems.  As always, your cooperation in improving our internal processes is greatly appreciated.</w:t>
      </w:r>
    </w:p>
    <w:p>
      <w:pPr>
        <w:pStyle w:val="Department"/>
        <w:jc w:val="both"/>
        <w:rPr/>
      </w:pPr>
      <w:r>
        <w:rPr/>
      </w:r>
    </w:p>
    <w:p>
      <w:pPr>
        <w:pStyle w:val="Department"/>
        <w:jc w:val="both"/>
        <w:rPr/>
      </w:pPr>
      <w:r>
        <w:rPr/>
        <w:t>Please contact me if you have any questions (x-35242).</w:t>
      </w:r>
    </w:p>
    <w:p>
      <w:pPr>
        <w:pStyle w:val="Department"/>
        <w:jc w:val="both"/>
        <w:rPr/>
      </w:pPr>
      <w:r>
        <w:rPr/>
      </w:r>
    </w:p>
    <w:p>
      <w:pPr>
        <w:pStyle w:val="Department"/>
        <w:jc w:val="both"/>
        <w:rPr/>
      </w:pPr>
      <w:r>
        <w:rPr/>
        <w:t>Thanks.</w:t>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p>
      <w:pPr>
        <w:pStyle w:val="Department"/>
        <w:jc w:val="both"/>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8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2000-06-12T16:32:00Z</dcterms:created>
  <dc:creator>Jeff Ford</dc:creator>
  <dc:description/>
  <dc:language>en-CA</dc:language>
  <cp:lastModifiedBy>mmoscos</cp:lastModifiedBy>
  <cp:lastPrinted>2000-05-25T15:53:00Z</cp:lastPrinted>
  <dcterms:modified xsi:type="dcterms:W3CDTF">2000-06-12T16:32:00Z</dcterms:modified>
  <cp:revision>2</cp:revision>
  <dc:subject>Schedule C Summary as of January 31, 1999</dc:subject>
  <dc:title>Eron Capital &amp; Trade Resources Memo</dc:title>
</cp:coreProperties>
</file>