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New Contract Outline</w:t>
      </w:r>
    </w:p>
    <w:p>
      <w:pPr>
        <w:pStyle w:val="Normal"/>
        <w:rPr/>
      </w:pPr>
      <w:r>
        <w:rPr/>
      </w:r>
    </w:p>
    <w:p>
      <w:pPr>
        <w:pStyle w:val="Normal"/>
        <w:numPr>
          <w:ilvl w:val="0"/>
          <w:numId w:val="2"/>
        </w:numPr>
        <w:rPr/>
      </w:pPr>
      <w:r>
        <w:rPr/>
        <w:t>The Parties Represent…</w:t>
      </w:r>
    </w:p>
    <w:p>
      <w:pPr>
        <w:pStyle w:val="Normal"/>
        <w:numPr>
          <w:ilvl w:val="1"/>
          <w:numId w:val="2"/>
        </w:numPr>
        <w:rPr/>
      </w:pPr>
      <w:r>
        <w:rPr/>
        <w:t>Need to mention MDEA load, transmission agreements, and IOA in para A.</w:t>
      </w:r>
    </w:p>
    <w:p>
      <w:pPr>
        <w:pStyle w:val="Normal"/>
        <w:numPr>
          <w:ilvl w:val="0"/>
          <w:numId w:val="2"/>
        </w:numPr>
        <w:rPr/>
      </w:pPr>
      <w:r>
        <w:rPr/>
        <w:t>Therefore, the parties agree as follows…</w:t>
      </w:r>
    </w:p>
    <w:p>
      <w:pPr>
        <w:pStyle w:val="Normal"/>
        <w:numPr>
          <w:ilvl w:val="0"/>
          <w:numId w:val="1"/>
        </w:numPr>
        <w:rPr/>
      </w:pPr>
      <w:r>
        <w:rPr/>
        <w:t>Definitions</w:t>
      </w:r>
    </w:p>
    <w:p>
      <w:pPr>
        <w:pStyle w:val="Normal"/>
        <w:numPr>
          <w:ilvl w:val="1"/>
          <w:numId w:val="1"/>
        </w:numPr>
        <w:rPr/>
      </w:pPr>
      <w:r>
        <w:rPr/>
        <w:t>Cost definition is confusing</w:t>
      </w:r>
    </w:p>
    <w:p>
      <w:pPr>
        <w:pStyle w:val="Normal"/>
        <w:numPr>
          <w:ilvl w:val="1"/>
          <w:numId w:val="1"/>
        </w:numPr>
        <w:rPr/>
      </w:pPr>
      <w:r>
        <w:rPr/>
        <w:t>Should we eliminate Anc Svcs from the definition of Products??</w:t>
      </w:r>
    </w:p>
    <w:p>
      <w:pPr>
        <w:pStyle w:val="Normal"/>
        <w:numPr>
          <w:ilvl w:val="1"/>
          <w:numId w:val="1"/>
        </w:numPr>
        <w:rPr/>
      </w:pPr>
      <w:r>
        <w:rPr/>
        <w:t>Profit definition is absent</w:t>
      </w:r>
    </w:p>
    <w:p>
      <w:pPr>
        <w:pStyle w:val="Normal"/>
        <w:numPr>
          <w:ilvl w:val="1"/>
          <w:numId w:val="1"/>
        </w:numPr>
        <w:rPr/>
      </w:pPr>
      <w:r>
        <w:rPr/>
        <w:t>Do we need a definition of SPP ISO?</w:t>
      </w:r>
    </w:p>
    <w:p>
      <w:pPr>
        <w:pStyle w:val="Normal"/>
        <w:numPr>
          <w:ilvl w:val="0"/>
          <w:numId w:val="1"/>
        </w:numPr>
        <w:rPr/>
      </w:pPr>
      <w:r>
        <w:rPr/>
        <w:t>Term</w:t>
      </w:r>
    </w:p>
    <w:p>
      <w:pPr>
        <w:pStyle w:val="Normal"/>
        <w:numPr>
          <w:ilvl w:val="1"/>
          <w:numId w:val="1"/>
        </w:numPr>
        <w:rPr/>
      </w:pPr>
      <w:r>
        <w:rPr/>
        <w:t>Punctuation in item (a)</w:t>
      </w:r>
    </w:p>
    <w:p>
      <w:pPr>
        <w:pStyle w:val="Normal"/>
        <w:numPr>
          <w:ilvl w:val="0"/>
          <w:numId w:val="1"/>
        </w:numPr>
        <w:rPr/>
      </w:pPr>
      <w:r>
        <w:rPr/>
        <w:t>Obligations of the Parties</w:t>
      </w:r>
    </w:p>
    <w:p>
      <w:pPr>
        <w:pStyle w:val="Normal"/>
        <w:numPr>
          <w:ilvl w:val="1"/>
          <w:numId w:val="1"/>
        </w:numPr>
        <w:rPr/>
      </w:pPr>
      <w:r>
        <w:rPr/>
        <w:t>What is the Marketing Strategy? It is called out as Exhibit A; however, it will be created by the Marketing Committee</w:t>
      </w:r>
    </w:p>
    <w:p>
      <w:pPr>
        <w:pStyle w:val="Normal"/>
        <w:numPr>
          <w:ilvl w:val="0"/>
          <w:numId w:val="1"/>
        </w:numPr>
        <w:rPr/>
      </w:pPr>
      <w:r>
        <w:rPr/>
        <w:t>Marketing Committee</w:t>
      </w:r>
    </w:p>
    <w:p>
      <w:pPr>
        <w:pStyle w:val="Normal"/>
        <w:numPr>
          <w:ilvl w:val="1"/>
          <w:numId w:val="1"/>
        </w:numPr>
        <w:rPr/>
      </w:pPr>
      <w:r>
        <w:rPr/>
        <w:t>Last sentence of (b) makes things very difficult in the event that actually happens</w:t>
      </w:r>
    </w:p>
    <w:p>
      <w:pPr>
        <w:pStyle w:val="Normal"/>
        <w:numPr>
          <w:ilvl w:val="0"/>
          <w:numId w:val="1"/>
        </w:numPr>
        <w:rPr/>
      </w:pPr>
      <w:r>
        <w:rPr/>
        <w:t>Availability of Products, Metering</w:t>
      </w:r>
    </w:p>
    <w:p>
      <w:pPr>
        <w:pStyle w:val="Normal"/>
        <w:numPr>
          <w:ilvl w:val="1"/>
          <w:numId w:val="1"/>
        </w:numPr>
        <w:rPr/>
      </w:pPr>
      <w:r>
        <w:rPr/>
        <w:t>EPMI’s sole discretion in (iii)??  Will this fly?</w:t>
      </w:r>
    </w:p>
    <w:p>
      <w:pPr>
        <w:pStyle w:val="Normal"/>
        <w:numPr>
          <w:ilvl w:val="1"/>
          <w:numId w:val="1"/>
        </w:numPr>
        <w:rPr/>
      </w:pPr>
      <w:r>
        <w:rPr/>
        <w:t>The last sentence of paragraph (a) is in conflict with item 4.a. above.</w:t>
      </w:r>
    </w:p>
    <w:p>
      <w:pPr>
        <w:pStyle w:val="Normal"/>
        <w:numPr>
          <w:ilvl w:val="1"/>
          <w:numId w:val="1"/>
        </w:numPr>
        <w:rPr/>
      </w:pPr>
      <w:r>
        <w:rPr/>
        <w:t>Reference to Appendix A in (b) should be removed.</w:t>
      </w:r>
    </w:p>
    <w:p>
      <w:pPr>
        <w:pStyle w:val="Normal"/>
        <w:numPr>
          <w:ilvl w:val="1"/>
          <w:numId w:val="1"/>
        </w:numPr>
        <w:rPr/>
      </w:pPr>
      <w:r>
        <w:rPr/>
        <w:t>How does the MPPSA work in here?  What is it?</w:t>
      </w:r>
    </w:p>
    <w:p>
      <w:pPr>
        <w:pStyle w:val="Normal"/>
        <w:numPr>
          <w:ilvl w:val="0"/>
          <w:numId w:val="1"/>
        </w:numPr>
        <w:rPr/>
      </w:pPr>
      <w:r>
        <w:rPr/>
        <w:t>Marketing Products to Third Parties (reference the exhibit here??)</w:t>
      </w:r>
    </w:p>
    <w:p>
      <w:pPr>
        <w:pStyle w:val="Normal"/>
        <w:numPr>
          <w:ilvl w:val="1"/>
          <w:numId w:val="1"/>
        </w:numPr>
        <w:rPr/>
      </w:pPr>
      <w:r>
        <w:rPr/>
        <w:t>Does SERC have a definition of Prudent Marketing Practices?  What about SPP?</w:t>
      </w:r>
    </w:p>
    <w:p>
      <w:pPr>
        <w:pStyle w:val="Normal"/>
        <w:numPr>
          <w:ilvl w:val="1"/>
          <w:numId w:val="1"/>
        </w:numPr>
        <w:rPr/>
      </w:pPr>
      <w:r>
        <w:rPr/>
        <w:t>Can we reference the Marketing Strategy and Trading and Risk Policy instead of NERC and SERC?  Further delete the balance of the paragraph after this reference.</w:t>
      </w:r>
    </w:p>
    <w:p>
      <w:pPr>
        <w:pStyle w:val="Normal"/>
        <w:numPr>
          <w:ilvl w:val="1"/>
          <w:numId w:val="1"/>
        </w:numPr>
        <w:rPr/>
      </w:pPr>
      <w:r>
        <w:rPr/>
        <w:t>Last sentence of paragraph (b)??</w:t>
      </w:r>
    </w:p>
    <w:p>
      <w:pPr>
        <w:pStyle w:val="Normal"/>
        <w:numPr>
          <w:ilvl w:val="1"/>
          <w:numId w:val="1"/>
        </w:numPr>
        <w:rPr/>
      </w:pPr>
      <w:r>
        <w:rPr/>
        <w:t>What is paragraph (d) about?</w:t>
      </w:r>
    </w:p>
    <w:p>
      <w:pPr>
        <w:pStyle w:val="Normal"/>
        <w:numPr>
          <w:ilvl w:val="0"/>
          <w:numId w:val="1"/>
        </w:numPr>
        <w:rPr/>
      </w:pPr>
      <w:r>
        <w:rPr/>
        <w:t>Scheduling (reference the exhibit here??)</w:t>
      </w:r>
    </w:p>
    <w:p>
      <w:pPr>
        <w:pStyle w:val="Normal"/>
        <w:numPr>
          <w:ilvl w:val="1"/>
          <w:numId w:val="1"/>
        </w:numPr>
        <w:rPr/>
      </w:pPr>
      <w:r>
        <w:rPr/>
        <w:t xml:space="preserve">Should we reference the Marketing Strategy and Trading Risk Policy in (d) and (e)?? </w:t>
      </w:r>
    </w:p>
    <w:p>
      <w:pPr>
        <w:pStyle w:val="Normal"/>
        <w:numPr>
          <w:ilvl w:val="0"/>
          <w:numId w:val="1"/>
        </w:numPr>
        <w:rPr/>
      </w:pPr>
      <w:r>
        <w:rPr/>
        <w:t>Accounting and Reports (reference the exhibit here??)</w:t>
      </w:r>
    </w:p>
    <w:p>
      <w:pPr>
        <w:pStyle w:val="Normal"/>
        <w:numPr>
          <w:ilvl w:val="1"/>
          <w:numId w:val="1"/>
        </w:numPr>
        <w:rPr/>
      </w:pPr>
      <w:r>
        <w:rPr/>
        <w:t>Who is putting together the accounting exhibit?</w:t>
      </w:r>
    </w:p>
    <w:p>
      <w:pPr>
        <w:pStyle w:val="Normal"/>
        <w:numPr>
          <w:ilvl w:val="1"/>
          <w:numId w:val="1"/>
        </w:numPr>
        <w:rPr/>
      </w:pPr>
      <w:r>
        <w:rPr/>
      </w:r>
    </w:p>
    <w:p>
      <w:pPr>
        <w:pStyle w:val="Normal"/>
        <w:numPr>
          <w:ilvl w:val="0"/>
          <w:numId w:val="1"/>
        </w:numPr>
        <w:rPr/>
      </w:pPr>
      <w:r>
        <w:rPr/>
        <w:t>Performance Standards</w:t>
      </w:r>
    </w:p>
    <w:p>
      <w:pPr>
        <w:pStyle w:val="Normal"/>
        <w:numPr>
          <w:ilvl w:val="1"/>
          <w:numId w:val="1"/>
        </w:numPr>
        <w:rPr/>
      </w:pPr>
      <w:r>
        <w:rPr/>
        <w:t>94% benchmark concept is new, esp. with respect to termination right and default</w:t>
      </w:r>
    </w:p>
    <w:p>
      <w:pPr>
        <w:pStyle w:val="Normal"/>
        <w:numPr>
          <w:ilvl w:val="1"/>
          <w:numId w:val="1"/>
        </w:numPr>
        <w:rPr/>
      </w:pPr>
      <w:r>
        <w:rPr/>
        <w:t>part of paragraph (a) seems to contemplate EPMI not sleeving the transactions but rather setting up enabling agreements for MDEA to do it.  This is different from the Energy and Capacity transactions that we do sleeve.</w:t>
      </w:r>
    </w:p>
    <w:p>
      <w:pPr>
        <w:pStyle w:val="Normal"/>
        <w:numPr>
          <w:ilvl w:val="0"/>
          <w:numId w:val="1"/>
        </w:numPr>
        <w:rPr/>
      </w:pPr>
      <w:r>
        <w:rPr/>
        <w:t>Delivery Point and Title</w:t>
      </w:r>
    </w:p>
    <w:p>
      <w:pPr>
        <w:pStyle w:val="Normal"/>
        <w:numPr>
          <w:ilvl w:val="0"/>
          <w:numId w:val="1"/>
        </w:numPr>
        <w:rPr/>
      </w:pPr>
      <w:r>
        <w:rPr/>
        <w:t>Fuel Management Services</w:t>
      </w:r>
    </w:p>
    <w:p>
      <w:pPr>
        <w:pStyle w:val="Normal"/>
        <w:numPr>
          <w:ilvl w:val="0"/>
          <w:numId w:val="1"/>
        </w:numPr>
        <w:rPr/>
      </w:pPr>
      <w:r>
        <w:rPr/>
        <w:t>Force Majeure</w:t>
      </w:r>
    </w:p>
    <w:p>
      <w:pPr>
        <w:pStyle w:val="Normal"/>
        <w:numPr>
          <w:ilvl w:val="0"/>
          <w:numId w:val="1"/>
        </w:numPr>
        <w:rPr/>
      </w:pPr>
      <w:r>
        <w:rPr/>
        <w:t>Payment and Fees</w:t>
      </w:r>
    </w:p>
    <w:p>
      <w:pPr>
        <w:pStyle w:val="Normal"/>
        <w:numPr>
          <w:ilvl w:val="1"/>
          <w:numId w:val="1"/>
        </w:numPr>
        <w:rPr/>
      </w:pPr>
      <w:r>
        <w:rPr/>
        <w:t>Remittance terms should be identical for EPMI and MDEA</w:t>
      </w:r>
    </w:p>
    <w:p>
      <w:pPr>
        <w:pStyle w:val="Normal"/>
        <w:numPr>
          <w:ilvl w:val="1"/>
          <w:numId w:val="1"/>
        </w:numPr>
        <w:rPr/>
      </w:pPr>
      <w:r>
        <w:rPr/>
        <w:t>Item (b) 1. needs Fairley help</w:t>
      </w:r>
    </w:p>
    <w:p>
      <w:pPr>
        <w:pStyle w:val="Normal"/>
        <w:numPr>
          <w:ilvl w:val="1"/>
          <w:numId w:val="1"/>
        </w:numPr>
        <w:rPr/>
      </w:pPr>
      <w:r>
        <w:rPr/>
      </w:r>
    </w:p>
    <w:p>
      <w:pPr>
        <w:pStyle w:val="Normal"/>
        <w:numPr>
          <w:ilvl w:val="0"/>
          <w:numId w:val="1"/>
        </w:numPr>
        <w:rPr/>
      </w:pPr>
      <w:r>
        <w:rPr/>
        <w:t>Default and Remedies Upon Default</w:t>
      </w:r>
    </w:p>
    <w:p>
      <w:pPr>
        <w:pStyle w:val="Normal"/>
        <w:numPr>
          <w:ilvl w:val="0"/>
          <w:numId w:val="1"/>
        </w:numPr>
        <w:rPr/>
      </w:pPr>
      <w:r>
        <w:rPr/>
        <w:t>Termination</w:t>
      </w:r>
    </w:p>
    <w:p>
      <w:pPr>
        <w:pStyle w:val="Normal"/>
        <w:numPr>
          <w:ilvl w:val="0"/>
          <w:numId w:val="1"/>
        </w:numPr>
        <w:rPr/>
      </w:pPr>
      <w:r>
        <w:rPr/>
        <w:t>Indemnification</w:t>
      </w:r>
    </w:p>
    <w:p>
      <w:pPr>
        <w:pStyle w:val="Normal"/>
        <w:numPr>
          <w:ilvl w:val="0"/>
          <w:numId w:val="1"/>
        </w:numPr>
        <w:rPr/>
      </w:pPr>
      <w:r>
        <w:rPr/>
        <w:t>Audit Rights</w:t>
      </w:r>
    </w:p>
    <w:p>
      <w:pPr>
        <w:pStyle w:val="Normal"/>
        <w:numPr>
          <w:ilvl w:val="0"/>
          <w:numId w:val="1"/>
        </w:numPr>
        <w:rPr/>
      </w:pPr>
      <w:r>
        <w:rPr/>
        <w:t>Dispute Resolution</w:t>
      </w:r>
    </w:p>
    <w:p>
      <w:pPr>
        <w:pStyle w:val="Normal"/>
        <w:numPr>
          <w:ilvl w:val="0"/>
          <w:numId w:val="1"/>
        </w:numPr>
        <w:rPr/>
      </w:pPr>
      <w:r>
        <w:rPr/>
        <w:t>Assignment</w:t>
      </w:r>
    </w:p>
    <w:p>
      <w:pPr>
        <w:pStyle w:val="Normal"/>
        <w:numPr>
          <w:ilvl w:val="0"/>
          <w:numId w:val="1"/>
        </w:numPr>
        <w:rPr/>
      </w:pPr>
      <w:r>
        <w:rPr/>
        <w:t>Survival of Provisions</w:t>
      </w:r>
    </w:p>
    <w:p>
      <w:pPr>
        <w:pStyle w:val="Normal"/>
        <w:numPr>
          <w:ilvl w:val="0"/>
          <w:numId w:val="1"/>
        </w:numPr>
        <w:rPr/>
      </w:pPr>
      <w:r>
        <w:rPr/>
        <w:t>Severability</w:t>
      </w:r>
    </w:p>
    <w:p>
      <w:pPr>
        <w:pStyle w:val="Normal"/>
        <w:numPr>
          <w:ilvl w:val="0"/>
          <w:numId w:val="1"/>
        </w:numPr>
        <w:rPr/>
      </w:pPr>
      <w:r>
        <w:rPr/>
        <w:t>Confidentiality</w:t>
      </w:r>
    </w:p>
    <w:p>
      <w:pPr>
        <w:pStyle w:val="Normal"/>
        <w:numPr>
          <w:ilvl w:val="0"/>
          <w:numId w:val="1"/>
        </w:numPr>
        <w:rPr/>
      </w:pPr>
      <w:r>
        <w:rPr/>
        <w:t>Notice</w:t>
      </w:r>
    </w:p>
    <w:p>
      <w:pPr>
        <w:pStyle w:val="Normal"/>
        <w:numPr>
          <w:ilvl w:val="0"/>
          <w:numId w:val="1"/>
        </w:numPr>
        <w:rPr/>
      </w:pPr>
      <w:r>
        <w:rPr/>
        <w:t>Waivers</w:t>
      </w:r>
    </w:p>
    <w:p>
      <w:pPr>
        <w:pStyle w:val="Normal"/>
        <w:numPr>
          <w:ilvl w:val="0"/>
          <w:numId w:val="1"/>
        </w:numPr>
        <w:rPr/>
      </w:pPr>
      <w:r>
        <w:rPr/>
        <w:t>Taxes</w:t>
      </w:r>
    </w:p>
    <w:p>
      <w:pPr>
        <w:pStyle w:val="Normal"/>
        <w:numPr>
          <w:ilvl w:val="0"/>
          <w:numId w:val="1"/>
        </w:numPr>
        <w:rPr/>
      </w:pPr>
      <w:r>
        <w:rPr/>
        <w:t>Representations and Warranties</w:t>
      </w:r>
    </w:p>
    <w:p>
      <w:pPr>
        <w:pStyle w:val="Normal"/>
        <w:numPr>
          <w:ilvl w:val="0"/>
          <w:numId w:val="1"/>
        </w:numPr>
        <w:rPr/>
      </w:pPr>
      <w:r>
        <w:rPr/>
        <w:t>Misc.</w:t>
      </w:r>
    </w:p>
    <w:p>
      <w:pPr>
        <w:pStyle w:val="Normal"/>
        <w:numPr>
          <w:ilvl w:val="0"/>
          <w:numId w:val="1"/>
        </w:numPr>
        <w:rPr/>
      </w:pPr>
      <w:r>
        <w:rPr/>
        <w:t>Relationship of the Parties</w:t>
      </w:r>
    </w:p>
    <w:p>
      <w:pPr>
        <w:pStyle w:val="Normal"/>
        <w:rPr/>
      </w:pPr>
      <w:r>
        <w:rPr/>
      </w:r>
    </w:p>
    <w:p>
      <w:pPr>
        <w:pStyle w:val="Normal"/>
        <w:rPr/>
      </w:pPr>
      <w:r>
        <w:rPr/>
      </w:r>
    </w:p>
    <w:p>
      <w:pPr>
        <w:pStyle w:val="Normal"/>
        <w:rPr/>
      </w:pPr>
      <w:r>
        <w:rPr/>
        <w:t>Exhibit I – Facilities</w:t>
      </w:r>
    </w:p>
    <w:p>
      <w:pPr>
        <w:pStyle w:val="Normal"/>
        <w:rPr/>
      </w:pPr>
      <w:r>
        <w:rPr/>
        <w:t>Exhibit 2 – Asset Management Services</w:t>
      </w:r>
    </w:p>
    <w:p>
      <w:pPr>
        <w:pStyle w:val="Normal"/>
        <w:rPr/>
      </w:pPr>
      <w:r>
        <w:rPr/>
        <w:t>Exhibit 3 – Scheduling Services</w:t>
      </w:r>
    </w:p>
    <w:p>
      <w:pPr>
        <w:pStyle w:val="Normal"/>
        <w:rPr/>
      </w:pPr>
      <w:r>
        <w:rPr/>
        <w:t>Exhibit 4 – Reports</w:t>
      </w:r>
    </w:p>
    <w:p>
      <w:pPr>
        <w:pStyle w:val="Normal"/>
        <w:rPr/>
      </w:pPr>
      <w:r>
        <w:rPr/>
        <w:t>Exhibit 5 – Hardware and Software to be Utilized</w:t>
      </w:r>
    </w:p>
    <w:p>
      <w:pPr>
        <w:pStyle w:val="Normal"/>
        <w:rPr/>
      </w:pPr>
      <w:r>
        <w:rPr/>
        <w:t>Exhibit 6 – Form of Parent Guaranty</w:t>
      </w:r>
    </w:p>
    <w:p>
      <w:pPr>
        <w:pStyle w:val="Normal"/>
        <w:rPr/>
      </w:pPr>
      <w:r>
        <w:rPr/>
        <w:t>Exhibit 7 – Accounting Chart</w:t>
      </w:r>
    </w:p>
    <w:p>
      <w:pPr>
        <w:pStyle w:val="Normal"/>
        <w:rPr/>
      </w:pPr>
      <w:r>
        <w:rPr/>
        <w:t>Exhibit 8 – Existing Transactions</w:t>
      </w:r>
    </w:p>
    <w:p>
      <w:pPr>
        <w:pStyle w:val="Normal"/>
        <w:rPr/>
      </w:pPr>
      <w:r>
        <w:rPr/>
        <w:t>Exhibit 9 – Early Termination Incentive Fee Thresholds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upperLetter"/>
      <w:lvlText w:val="%1."/>
      <w:lvlJc w:val="start"/>
      <w:pPr>
        <w:tabs>
          <w:tab w:val="num" w:pos="360"/>
        </w:tabs>
        <w:ind w:start="360" w:hanging="360"/>
      </w:pPr>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0">
    <w:name w:val="WW8Num3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2001-04-09T16:11:00Z</dcterms:created>
  <dc:creator>rrorscha</dc:creator>
  <dc:description/>
  <dc:language>en-CA</dc:language>
  <cp:lastModifiedBy>rrorscha</cp:lastModifiedBy>
  <cp:lastPrinted>2001-04-09T18:07:00Z</cp:lastPrinted>
  <dcterms:modified xsi:type="dcterms:W3CDTF">2001-04-09T20:38:00Z</dcterms:modified>
  <cp:revision>3</cp:revision>
  <dc:subject/>
  <dc:title>New Contract Outline</dc:title>
</cp:coreProperties>
</file>