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both"/>
        <w:rPr/>
      </w:pPr>
      <w:r>
        <w:rPr>
          <w:b/>
          <w:sz w:val="22"/>
        </w:rPr>
        <w:t>Seller:</w:t>
        <w:tab/>
        <w:tab/>
        <w:tab/>
        <w:tab/>
      </w:r>
      <w:r>
        <w:rPr>
          <w:sz w:val="22"/>
        </w:rPr>
        <w:t>Enron North America Corp. (“ENA”)</w:t>
      </w:r>
    </w:p>
    <w:p>
      <w:pPr>
        <w:pStyle w:val="Normal"/>
        <w:spacing w:before="0" w:after="360"/>
        <w:jc w:val="both"/>
        <w:rPr/>
      </w:pPr>
      <w:r>
        <w:rPr>
          <w:b/>
          <w:sz w:val="22"/>
        </w:rPr>
        <w:t>Buyer:</w:t>
        <w:tab/>
        <w:tab/>
        <w:tab/>
        <w:tab/>
      </w:r>
      <w:r>
        <w:rPr>
          <w:sz w:val="22"/>
        </w:rPr>
        <w:t>PSEG Energy Resources &amp; Trade LLC (“PSEG”)</w:t>
      </w:r>
    </w:p>
    <w:p>
      <w:pPr>
        <w:pStyle w:val="Normal"/>
        <w:tabs>
          <w:tab w:val="clear" w:pos="720"/>
          <w:tab w:val="left" w:pos="1440" w:leader="none"/>
        </w:tabs>
        <w:spacing w:before="0" w:after="360"/>
        <w:ind w:hanging="2880" w:start="2880" w:end="0"/>
        <w:jc w:val="both"/>
        <w:rPr/>
      </w:pPr>
      <w:r>
        <w:rPr>
          <w:b/>
          <w:sz w:val="22"/>
        </w:rPr>
        <w:t>Product Description:</w:t>
        <w:tab/>
      </w:r>
      <w:r>
        <w:rPr>
          <w:sz w:val="22"/>
        </w:rPr>
        <w:t>Unit Contingent Tolling Option. Buyer would have the exclusive right, but not the obligation, to deliver gas supply and to simultaneously receive the resulting energy output from the committed units in accordance with the terms and conditions herein.  Capacity is based on committing four of the six units (to be specifically identified) at the Facility for the proposed transaction.</w:t>
      </w:r>
    </w:p>
    <w:p>
      <w:pPr>
        <w:pStyle w:val="Normal"/>
        <w:spacing w:before="0" w:after="360"/>
        <w:ind w:hanging="2880" w:start="2880" w:end="0"/>
        <w:jc w:val="both"/>
        <w:rPr/>
      </w:pPr>
      <w:r>
        <w:rPr>
          <w:b/>
          <w:sz w:val="22"/>
        </w:rPr>
        <w:t>Facility:</w:t>
        <w:tab/>
      </w:r>
      <w:r>
        <w:rPr>
          <w:sz w:val="22"/>
        </w:rPr>
        <w:t>Enron’s New Albany, MS Generating Station (“Facility”). The Facility consists of four G.E. 7B combustion turbines operating in simple cycle mode, each with a nominal unit output of 65MW. The control area operator is Enron Southeast Corp.  Control Area:  ENNA.</w:t>
      </w:r>
    </w:p>
    <w:p>
      <w:pPr>
        <w:pStyle w:val="Normal"/>
        <w:spacing w:before="0" w:after="360"/>
        <w:ind w:hanging="2880" w:start="2880" w:end="0"/>
        <w:jc w:val="both"/>
        <w:rPr/>
      </w:pPr>
      <w:r>
        <w:rPr>
          <w:b/>
          <w:sz w:val="22"/>
        </w:rPr>
        <w:t>Term:</w:t>
        <w:tab/>
      </w:r>
      <w:r>
        <w:rPr>
          <w:sz w:val="22"/>
        </w:rPr>
        <w:t>January 1, 2001 through December 31, 2001 (One Year)</w:t>
      </w:r>
    </w:p>
    <w:p>
      <w:pPr>
        <w:pStyle w:val="Normal"/>
        <w:tabs>
          <w:tab w:val="clear" w:pos="720"/>
          <w:tab w:val="left" w:pos="-90" w:leader="none"/>
        </w:tabs>
        <w:spacing w:before="0" w:after="360"/>
        <w:ind w:hanging="2880" w:start="2880" w:end="0"/>
        <w:jc w:val="both"/>
        <w:rPr/>
      </w:pPr>
      <w:r>
        <w:rPr>
          <w:b/>
          <w:sz w:val="22"/>
        </w:rPr>
        <w:t>Energy Delivery Point:</w:t>
        <w:tab/>
      </w:r>
      <w:r>
        <w:rPr>
          <w:sz w:val="22"/>
        </w:rPr>
        <w:t>New Albany Plant delivery point at the existing interconnection with TVA’s  500kV transmission line adjacent to the Facility</w:t>
      </w:r>
    </w:p>
    <w:p>
      <w:pPr>
        <w:pStyle w:val="Normal"/>
        <w:tabs>
          <w:tab w:val="clear" w:pos="720"/>
          <w:tab w:val="left" w:pos="-90" w:leader="none"/>
        </w:tabs>
        <w:spacing w:before="0" w:after="360"/>
        <w:ind w:hanging="2880" w:start="2880" w:end="0"/>
        <w:jc w:val="both"/>
        <w:rPr/>
      </w:pPr>
      <w:r>
        <w:rPr>
          <w:b/>
          <w:sz w:val="22"/>
        </w:rPr>
        <w:t>Fuel Delivery Point:</w:t>
      </w:r>
      <w:r>
        <w:rPr>
          <w:sz w:val="22"/>
        </w:rPr>
        <w:tab/>
        <w:t>Columbia Gulf Transmission delivery point to Enron’s New Albany Plant</w:t>
      </w:r>
    </w:p>
    <w:p>
      <w:pPr>
        <w:pStyle w:val="Normal"/>
        <w:tabs>
          <w:tab w:val="clear" w:pos="720"/>
          <w:tab w:val="left" w:pos="90" w:leader="none"/>
        </w:tabs>
        <w:spacing w:before="0" w:after="360"/>
        <w:ind w:hanging="2880" w:start="2880" w:end="0"/>
        <w:jc w:val="both"/>
        <w:rPr/>
      </w:pPr>
      <w:r>
        <w:rPr>
          <w:b/>
          <w:sz w:val="22"/>
        </w:rPr>
        <w:t>Transmission:</w:t>
        <w:tab/>
      </w:r>
      <w:r>
        <w:rPr>
          <w:sz w:val="22"/>
        </w:rPr>
        <w:t>Buyer will be responsible for securing all transmission and ancillary services from the Energy Delivery Point.</w:t>
      </w:r>
    </w:p>
    <w:p>
      <w:pPr>
        <w:pStyle w:val="Normal"/>
        <w:spacing w:before="0" w:after="360"/>
        <w:ind w:hanging="2880" w:start="2880" w:end="0"/>
        <w:jc w:val="both"/>
        <w:rPr/>
      </w:pPr>
      <w:r>
        <w:rPr>
          <w:b/>
          <w:sz w:val="22"/>
        </w:rPr>
        <w:t>Guaranteed Output:</w:t>
        <w:tab/>
      </w:r>
      <w:r>
        <w:rPr>
          <w:sz w:val="22"/>
        </w:rPr>
        <w:t>Capacity up to 260MW as pre-designated below by ENA.  The chart below outlines allowable dispatch blocks with guaranteed heat rates.  All heat rate numbers are HHV units of BTU/kWh.</w:t>
      </w:r>
    </w:p>
    <w:p>
      <w:pPr>
        <w:pStyle w:val="Normal"/>
        <w:spacing w:lineRule="atLeast" w:line="240"/>
        <w:ind w:hanging="2880" w:start="2880" w:end="0"/>
        <w:rPr>
          <w:rFonts w:ascii="Helv" w:hAnsi="Helv" w:cs="Helv"/>
          <w:color w:val="000000"/>
        </w:rPr>
      </w:pPr>
      <w:r>
        <w:rPr>
          <w:rFonts w:cs="Helv" w:ascii="Helv" w:hAnsi="Helv"/>
          <w:color w:val="000000"/>
        </w:rPr>
        <w:tab/>
        <w:tab/>
        <w:tab/>
        <w:tab/>
      </w:r>
    </w:p>
    <w:p>
      <w:pPr>
        <w:pStyle w:val="Normal"/>
        <w:spacing w:lineRule="atLeast" w:line="240"/>
        <w:ind w:hanging="2880" w:start="2880" w:end="0"/>
        <w:rPr>
          <w:rFonts w:ascii="Helv" w:hAnsi="Helv" w:cs="Helv"/>
          <w:color w:val="000000"/>
        </w:rPr>
      </w:pPr>
      <w:r>
        <w:rPr>
          <w:rFonts w:cs="Helv" w:ascii="Helv" w:hAnsi="Helv"/>
          <w:color w:val="000000"/>
        </w:rPr>
      </w:r>
    </w:p>
    <w:p>
      <w:pPr>
        <w:pStyle w:val="Normal"/>
        <w:spacing w:lineRule="atLeast" w:line="240"/>
        <w:ind w:hanging="2880" w:start="2880" w:end="0"/>
        <w:rPr>
          <w:rFonts w:ascii="Helv" w:hAnsi="Helv" w:cs="Helv"/>
          <w:color w:val="000000"/>
        </w:rPr>
      </w:pPr>
      <w:r>
        <w:rPr>
          <w:rFonts w:cs="Helv" w:ascii="Helv" w:hAnsi="Helv"/>
          <w:color w:val="000000"/>
        </w:rPr>
      </w:r>
    </w:p>
    <w:p>
      <w:pPr>
        <w:pStyle w:val="Normal"/>
        <w:spacing w:lineRule="atLeast" w:line="240"/>
        <w:ind w:hanging="2880" w:start="2880" w:end="0"/>
        <w:rPr>
          <w:rFonts w:ascii="Helv" w:hAnsi="Helv" w:cs="Helv"/>
          <w:color w:val="000000"/>
        </w:rPr>
      </w:pPr>
      <w:r>
        <w:rPr>
          <w:rFonts w:cs="Helv" w:ascii="Helv" w:hAnsi="Helv"/>
          <w:color w:val="000000"/>
        </w:rPr>
      </w:r>
    </w:p>
    <w:p>
      <w:pPr>
        <w:pStyle w:val="Normal"/>
        <w:spacing w:lineRule="atLeast" w:line="240"/>
        <w:ind w:hanging="2880" w:start="2880" w:end="0"/>
        <w:rPr>
          <w:rFonts w:ascii="Helv" w:hAnsi="Helv" w:cs="Helv"/>
          <w:color w:val="000000"/>
        </w:rPr>
      </w:pPr>
      <w:r>
        <w:rPr>
          <w:rFonts w:cs="Helv" w:ascii="Helv" w:hAnsi="Helv"/>
          <w:color w:val="000000"/>
        </w:rPr>
      </w:r>
    </w:p>
    <w:p>
      <w:pPr>
        <w:pStyle w:val="Normal"/>
        <w:spacing w:lineRule="atLeast" w:line="240"/>
        <w:ind w:hanging="2880" w:start="2880" w:end="0"/>
        <w:rPr>
          <w:rFonts w:ascii="Helv" w:hAnsi="Helv" w:cs="Helv"/>
          <w:color w:val="000000"/>
        </w:rPr>
      </w:pPr>
      <w:r>
        <w:rPr>
          <w:rFonts w:cs="Helv" w:ascii="Helv" w:hAnsi="Helv"/>
          <w:color w:val="000000"/>
        </w:rPr>
      </w:r>
    </w:p>
    <w:p>
      <w:pPr>
        <w:pStyle w:val="Normal"/>
        <w:spacing w:lineRule="atLeast" w:line="240"/>
        <w:ind w:hanging="2880" w:start="2880" w:end="0"/>
        <w:rPr>
          <w:rFonts w:ascii="Helv" w:hAnsi="Helv" w:cs="Helv"/>
          <w:color w:val="000000"/>
        </w:rPr>
      </w:pPr>
      <w:r>
        <w:rPr>
          <w:rFonts w:cs="Helv" w:ascii="Helv" w:hAnsi="Helv"/>
          <w:color w:val="000000"/>
        </w:rPr>
      </w:r>
    </w:p>
    <w:p>
      <w:pPr>
        <w:pStyle w:val="Normal"/>
        <w:spacing w:lineRule="atLeast" w:line="240"/>
        <w:ind w:hanging="2880" w:start="2880" w:end="0"/>
        <w:rPr>
          <w:rFonts w:ascii="Helv" w:hAnsi="Helv" w:cs="Helv"/>
          <w:color w:val="000000"/>
        </w:rPr>
      </w:pPr>
      <w:r>
        <w:rPr>
          <w:rFonts w:cs="Helv" w:ascii="Helv" w:hAnsi="Helv"/>
          <w:color w:val="000000"/>
        </w:rPr>
      </w:r>
    </w:p>
    <w:tbl>
      <w:tblPr>
        <w:tblW w:w="5760" w:type="dxa"/>
        <w:jc w:val="start"/>
        <w:tblInd w:w="2988" w:type="dxa"/>
        <w:tblLayout w:type="fixed"/>
        <w:tblCellMar>
          <w:top w:w="0" w:type="dxa"/>
          <w:start w:w="108" w:type="dxa"/>
          <w:bottom w:w="0" w:type="dxa"/>
          <w:end w:w="108" w:type="dxa"/>
        </w:tblCellMar>
      </w:tblPr>
      <w:tblGrid>
        <w:gridCol w:w="2790"/>
        <w:gridCol w:w="2970"/>
      </w:tblGrid>
      <w:tr>
        <w:trPr/>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b/>
                <w:i/>
                <w:color w:val="000000"/>
              </w:rPr>
              <w:t xml:space="preserve">Guaranteed Heat Rate Table- January, February, March, November, and December </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b/>
                <w:color w:val="000000"/>
              </w:rPr>
            </w:pPr>
            <w:r>
              <w:rPr>
                <w:rFonts w:cs="Helv" w:ascii="Helv" w:hAnsi="Helv"/>
                <w:b/>
                <w:color w:val="000000"/>
              </w:rPr>
              <w:t>MW</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b/>
                <w:color w:val="000000"/>
              </w:rPr>
            </w:pPr>
            <w:r>
              <w:rPr>
                <w:rFonts w:cs="Helv" w:ascii="Helv" w:hAnsi="Helv"/>
                <w:b/>
                <w:color w:val="000000"/>
              </w:rPr>
              <w:t>Heat Rate</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55-59</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60-65</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110-118</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120-130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165-177</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180-195</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220-236</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240-260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bl>
    <w:p>
      <w:pPr>
        <w:pStyle w:val="Normal"/>
        <w:tabs>
          <w:tab w:val="clear" w:pos="720"/>
          <w:tab w:val="left" w:pos="-90" w:leader="none"/>
        </w:tabs>
        <w:spacing w:before="0" w:after="360"/>
        <w:ind w:hanging="2880" w:start="2880" w:end="0"/>
        <w:jc w:val="both"/>
        <w:rPr>
          <w:b/>
          <w:sz w:val="22"/>
        </w:rPr>
      </w:pPr>
      <w:r>
        <w:rPr>
          <w:b/>
          <w:sz w:val="22"/>
        </w:rPr>
        <w:tab/>
      </w:r>
    </w:p>
    <w:p>
      <w:pPr>
        <w:pStyle w:val="Normal"/>
        <w:spacing w:lineRule="atLeast" w:line="240"/>
        <w:ind w:hanging="2880" w:start="2880" w:end="0"/>
        <w:rPr>
          <w:rFonts w:ascii="Helv" w:hAnsi="Helv" w:cs="Helv"/>
          <w:b/>
          <w:color w:val="000000"/>
          <w:sz w:val="22"/>
        </w:rPr>
      </w:pPr>
      <w:r>
        <w:rPr>
          <w:rFonts w:cs="Helv" w:ascii="Helv" w:hAnsi="Helv"/>
          <w:b/>
          <w:color w:val="000000"/>
          <w:sz w:val="22"/>
        </w:rPr>
        <w:tab/>
      </w:r>
    </w:p>
    <w:tbl>
      <w:tblPr>
        <w:tblW w:w="5760" w:type="dxa"/>
        <w:jc w:val="start"/>
        <w:tblInd w:w="2988" w:type="dxa"/>
        <w:tblLayout w:type="fixed"/>
        <w:tblCellMar>
          <w:top w:w="0" w:type="dxa"/>
          <w:start w:w="108" w:type="dxa"/>
          <w:bottom w:w="0" w:type="dxa"/>
          <w:end w:w="108" w:type="dxa"/>
        </w:tblCellMar>
      </w:tblPr>
      <w:tblGrid>
        <w:gridCol w:w="2790"/>
        <w:gridCol w:w="2970"/>
      </w:tblGrid>
      <w:tr>
        <w:trPr/>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b/>
                <w:i/>
                <w:color w:val="000000"/>
              </w:rPr>
              <w:t xml:space="preserve">Guaranteed Heat Rate Table- April, May, June, July, August, September, and October </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b/>
                <w:color w:val="000000"/>
              </w:rPr>
            </w:pPr>
            <w:r>
              <w:rPr>
                <w:rFonts w:cs="Helv" w:ascii="Helv" w:hAnsi="Helv"/>
                <w:b/>
                <w:color w:val="000000"/>
              </w:rPr>
              <w:t>MW</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b/>
                <w:color w:val="000000"/>
              </w:rPr>
            </w:pPr>
            <w:r>
              <w:rPr>
                <w:rFonts w:cs="Helv" w:ascii="Helv" w:hAnsi="Helv"/>
                <w:b/>
                <w:color w:val="000000"/>
              </w:rPr>
              <w:t>Heat Rate</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50-55</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56-60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100-110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112-120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150-165</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168-180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200-220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13,500</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224-240</w:t>
            </w:r>
          </w:p>
        </w:tc>
        <w:tc>
          <w:tcPr>
            <w:tcW w:w="297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Helv" w:hAnsi="Helv" w:cs="Helv"/>
                <w:color w:val="000000"/>
              </w:rPr>
            </w:pPr>
            <w:r>
              <w:rPr>
                <w:rFonts w:cs="Helv" w:ascii="Helv" w:hAnsi="Helv"/>
                <w:color w:val="000000"/>
              </w:rPr>
              <w:t>12,500</w:t>
            </w:r>
          </w:p>
        </w:tc>
      </w:tr>
    </w:tbl>
    <w:p>
      <w:pPr>
        <w:pStyle w:val="Normal"/>
        <w:tabs>
          <w:tab w:val="clear" w:pos="720"/>
          <w:tab w:val="left" w:pos="-90" w:leader="none"/>
        </w:tabs>
        <w:spacing w:before="0" w:after="360"/>
        <w:ind w:hanging="2880" w:start="2880" w:end="0"/>
        <w:jc w:val="both"/>
        <w:rPr>
          <w:sz w:val="22"/>
        </w:rPr>
      </w:pPr>
      <w:r>
        <w:rPr>
          <w:sz w:val="22"/>
        </w:rPr>
      </w:r>
    </w:p>
    <w:p>
      <w:pPr>
        <w:pStyle w:val="Normal"/>
        <w:spacing w:before="0" w:after="360"/>
        <w:ind w:hanging="2880" w:start="2880" w:end="0"/>
        <w:jc w:val="both"/>
        <w:rPr/>
      </w:pPr>
      <w:r>
        <w:rPr>
          <w:b/>
          <w:sz w:val="22"/>
        </w:rPr>
        <w:t>Monthly Demand Charge:</w:t>
      </w:r>
      <w:r>
        <w:rPr>
          <w:sz w:val="22"/>
        </w:rPr>
        <w:tab/>
        <w:t>The Monthly Demand Charge (“MDC”) shall be $ 8.00/Kw-Month.</w:t>
      </w:r>
    </w:p>
    <w:p>
      <w:pPr>
        <w:pStyle w:val="Normal"/>
        <w:spacing w:before="0" w:after="360"/>
        <w:ind w:hanging="1440" w:start="1440" w:end="0"/>
        <w:jc w:val="both"/>
        <w:rPr/>
      </w:pPr>
      <w:r>
        <w:rPr>
          <w:b/>
          <w:sz w:val="22"/>
        </w:rPr>
        <w:t>Variable O&amp;M:</w:t>
        <w:tab/>
      </w:r>
      <w:r>
        <w:rPr>
          <w:sz w:val="22"/>
        </w:rPr>
        <w:t xml:space="preserve">   </w:t>
        <w:tab/>
        <w:t>$2.50 per MWh of actual energy produced</w:t>
        <w:tab/>
        <w:t xml:space="preserve">      </w:t>
      </w:r>
    </w:p>
    <w:p>
      <w:pPr>
        <w:pStyle w:val="BodyTextIndent3"/>
        <w:tabs>
          <w:tab w:val="clear" w:pos="90"/>
        </w:tabs>
        <w:spacing w:before="0" w:after="360"/>
        <w:rPr>
          <w:b/>
        </w:rPr>
      </w:pPr>
      <w:r>
        <w:rPr>
          <w:b/>
        </w:rPr>
        <w:t>Start Charge:</w:t>
      </w:r>
      <w:r>
        <w:rPr/>
        <w:t xml:space="preserve">   </w:t>
        <w:tab/>
        <w:t>$1,500 per combustion turbine start, and Buyer provides its own start-up fuel estimated to be 100-200 MMBtu per combustion turbine start and will be capped at a maximum of 200 MMBtu per combustion start.</w:t>
      </w:r>
    </w:p>
    <w:p>
      <w:pPr>
        <w:pStyle w:val="Normal"/>
        <w:spacing w:before="0" w:after="360"/>
        <w:ind w:hanging="2880" w:start="2880" w:end="0"/>
        <w:jc w:val="both"/>
        <w:rPr/>
      </w:pPr>
      <w:r>
        <w:rPr>
          <w:b/>
          <w:sz w:val="22"/>
        </w:rPr>
        <w:t>Guaranteed Availability:</w:t>
      </w:r>
      <w:r>
        <w:rPr>
          <w:sz w:val="22"/>
        </w:rPr>
        <w:tab/>
        <w:t>The Guaranteed Availability Factor (“GAF”) shall be 99% for each of the months of June, July, August, September, and December and 95% for all other months. The Actual Availability Factor (“AAF”) shall be calculated by dividing the sum of the delivered on-peak energy for the month (“Delivered Energy”) by the sum of the scheduled on-peak energy for the month (“Scheduled Energy”). Planned maintenance will not be scheduled during the months of January, February, June, July, August and September.</w:t>
      </w:r>
    </w:p>
    <w:p>
      <w:pPr>
        <w:pStyle w:val="BodyTextIndent3"/>
        <w:spacing w:before="120" w:after="240"/>
        <w:rPr/>
      </w:pPr>
      <w:r>
        <w:rPr>
          <w:b/>
        </w:rPr>
        <w:t>Monthly Capacity Payment:</w:t>
        <w:tab/>
      </w:r>
      <w:r>
        <w:rPr/>
        <w:t>At the beginning of the Term, Buyer shall pay Seller a Monthly Capacity Payment (“MCP”) for each month of the Term of the agreement, which shall be calculated as follows:</w:t>
      </w:r>
    </w:p>
    <w:p>
      <w:pPr>
        <w:pStyle w:val="BodyTextIndent3"/>
        <w:spacing w:before="120" w:after="240"/>
        <w:rPr/>
      </w:pPr>
      <w:r>
        <w:rPr>
          <w:b/>
        </w:rPr>
        <w:tab/>
        <w:tab/>
      </w:r>
      <w:r>
        <w:rPr/>
        <w:t>MCP =  AA x DC x MDC</w:t>
      </w:r>
    </w:p>
    <w:p>
      <w:pPr>
        <w:pStyle w:val="BodyTextIndent3"/>
        <w:spacing w:before="120" w:after="240"/>
        <w:rPr/>
      </w:pPr>
      <w:r>
        <w:rPr/>
        <w:tab/>
        <w:tab/>
        <w:t>Where:</w:t>
      </w:r>
    </w:p>
    <w:p>
      <w:pPr>
        <w:pStyle w:val="BodyTextIndent3"/>
        <w:spacing w:before="120" w:after="240"/>
        <w:rPr/>
      </w:pPr>
      <w:r>
        <w:rPr/>
        <w:tab/>
        <w:tab/>
        <w:tab/>
        <w:t>MCP = Monthly Capacity Payment ($)</w:t>
      </w:r>
    </w:p>
    <w:p>
      <w:pPr>
        <w:pStyle w:val="BodyTextIndent3"/>
        <w:spacing w:before="120" w:after="240"/>
        <w:rPr/>
      </w:pPr>
      <w:r>
        <w:rPr/>
        <w:tab/>
        <w:tab/>
        <w:tab/>
        <w:t xml:space="preserve">AA = Availability Adjustment </w:t>
      </w:r>
    </w:p>
    <w:p>
      <w:pPr>
        <w:pStyle w:val="BodyTextIndent3"/>
        <w:spacing w:before="120" w:after="240"/>
        <w:rPr/>
      </w:pPr>
      <w:r>
        <w:rPr/>
        <w:tab/>
        <w:tab/>
        <w:tab/>
        <w:t xml:space="preserve">       = (1 + ((AAF – GAF)/GAF)</w:t>
      </w:r>
    </w:p>
    <w:p>
      <w:pPr>
        <w:pStyle w:val="BodyTextIndent3"/>
        <w:spacing w:before="120" w:after="240"/>
        <w:rPr/>
      </w:pPr>
      <w:r>
        <w:rPr/>
        <w:tab/>
        <w:tab/>
        <w:tab/>
        <w:t>Where:</w:t>
      </w:r>
    </w:p>
    <w:p>
      <w:pPr>
        <w:pStyle w:val="BodyTextIndent3"/>
        <w:spacing w:before="120" w:after="240"/>
        <w:rPr/>
      </w:pPr>
      <w:r>
        <w:rPr/>
        <w:tab/>
        <w:tab/>
        <w:tab/>
        <w:t>AAF =Actual Availability Factor for the month (%)</w:t>
        <w:tab/>
      </w:r>
    </w:p>
    <w:p>
      <w:pPr>
        <w:pStyle w:val="BodyTextIndent3"/>
        <w:spacing w:before="120" w:after="240"/>
        <w:rPr/>
      </w:pPr>
      <w:r>
        <w:rPr/>
        <w:tab/>
        <w:tab/>
        <w:tab/>
        <w:t>GAF =Guaranteed Availability Factor for the month (%)</w:t>
      </w:r>
    </w:p>
    <w:p>
      <w:pPr>
        <w:pStyle w:val="BodyTextIndent3"/>
        <w:spacing w:before="120" w:after="240"/>
        <w:rPr/>
      </w:pPr>
      <w:r>
        <w:rPr/>
        <w:tab/>
        <w:tab/>
        <w:t>And:</w:t>
        <w:tab/>
        <w:t>DC = Dependable Capacity of the units (Kw)</w:t>
      </w:r>
    </w:p>
    <w:p>
      <w:pPr>
        <w:pStyle w:val="BodyTextIndent3"/>
        <w:spacing w:before="120" w:after="240"/>
        <w:rPr>
          <w:b/>
        </w:rPr>
      </w:pPr>
      <w:r>
        <w:rPr/>
        <w:tab/>
        <w:tab/>
        <w:tab/>
        <w:t>MCC = Monthly Capacity Charge ($/Kw-month)</w:t>
      </w:r>
    </w:p>
    <w:p>
      <w:pPr>
        <w:pStyle w:val="BodyTextIndent3"/>
        <w:tabs>
          <w:tab w:val="left" w:pos="90" w:leader="none"/>
          <w:tab w:val="left" w:pos="2880" w:leader="none"/>
        </w:tabs>
        <w:spacing w:before="120" w:after="240"/>
        <w:rPr/>
      </w:pPr>
      <w:r>
        <w:rPr>
          <w:b/>
        </w:rPr>
        <w:t>Monthly Energy Payment:</w:t>
        <w:tab/>
      </w:r>
      <w:r>
        <w:rPr/>
        <w:t>Beginning at the end of the first month of the Term, Buyer shall pay Seller a Monthly Energy Payment for each month of the Term of the agreement, which shall be calculated as follows:</w:t>
      </w:r>
    </w:p>
    <w:p>
      <w:pPr>
        <w:pStyle w:val="BodyTextIndent3"/>
        <w:tabs>
          <w:tab w:val="left" w:pos="90" w:leader="none"/>
          <w:tab w:val="left" w:pos="2880" w:leader="none"/>
        </w:tabs>
        <w:spacing w:before="120" w:after="240"/>
        <w:rPr/>
      </w:pPr>
      <w:r>
        <w:rPr>
          <w:b/>
        </w:rPr>
        <w:tab/>
        <w:tab/>
      </w:r>
      <w:r>
        <w:rPr/>
        <w:t>MEP= (DE x VOM) + (NSM x SC)</w:t>
      </w:r>
    </w:p>
    <w:p>
      <w:pPr>
        <w:pStyle w:val="BodyTextIndent3"/>
        <w:tabs>
          <w:tab w:val="left" w:pos="90" w:leader="none"/>
          <w:tab w:val="left" w:pos="2880" w:leader="none"/>
        </w:tabs>
        <w:spacing w:before="120" w:after="240"/>
        <w:rPr/>
      </w:pPr>
      <w:r>
        <w:rPr/>
        <w:tab/>
        <w:tab/>
        <w:t>Where:</w:t>
      </w:r>
    </w:p>
    <w:p>
      <w:pPr>
        <w:pStyle w:val="BodyTextIndent3"/>
        <w:tabs>
          <w:tab w:val="left" w:pos="90" w:leader="none"/>
          <w:tab w:val="left" w:pos="2880" w:leader="none"/>
        </w:tabs>
        <w:spacing w:before="120" w:after="240"/>
        <w:rPr/>
      </w:pPr>
      <w:r>
        <w:rPr/>
        <w:tab/>
        <w:tab/>
        <w:tab/>
        <w:t>MEP= Monthly Energy Payment ($)</w:t>
      </w:r>
    </w:p>
    <w:p>
      <w:pPr>
        <w:pStyle w:val="BodyTextIndent3"/>
        <w:tabs>
          <w:tab w:val="left" w:pos="90" w:leader="none"/>
          <w:tab w:val="left" w:pos="2880" w:leader="none"/>
        </w:tabs>
        <w:spacing w:before="120" w:after="240"/>
        <w:ind w:start="3600" w:end="0"/>
        <w:rPr/>
      </w:pPr>
      <w:r>
        <w:rPr/>
        <w:tab/>
        <w:tab/>
        <w:t>DE= Delivered Energy (in MWh)</w:t>
      </w:r>
    </w:p>
    <w:p>
      <w:pPr>
        <w:pStyle w:val="BodyTextIndent3"/>
        <w:tabs>
          <w:tab w:val="left" w:pos="90" w:leader="none"/>
          <w:tab w:val="left" w:pos="2880" w:leader="none"/>
        </w:tabs>
        <w:spacing w:before="120" w:after="240"/>
        <w:ind w:start="3600" w:end="0"/>
        <w:rPr/>
      </w:pPr>
      <w:r>
        <w:rPr/>
        <w:tab/>
        <w:tab/>
        <w:t>VOM=</w:t>
        <w:tab/>
        <w:t>Variable Operation &amp; Maintenance Charge ($/MWh) as defined above.</w:t>
      </w:r>
    </w:p>
    <w:p>
      <w:pPr>
        <w:pStyle w:val="BodyTextIndent3"/>
        <w:tabs>
          <w:tab w:val="left" w:pos="90" w:leader="none"/>
          <w:tab w:val="left" w:pos="2880" w:leader="none"/>
        </w:tabs>
        <w:spacing w:before="120" w:after="240"/>
        <w:ind w:start="3600" w:end="0"/>
        <w:rPr/>
      </w:pPr>
      <w:r>
        <w:rPr/>
        <w:tab/>
        <w:tab/>
        <w:t>NSM=</w:t>
        <w:tab/>
        <w:t>Number of Starts/per unit/per month</w:t>
      </w:r>
    </w:p>
    <w:p>
      <w:pPr>
        <w:pStyle w:val="BodyTextIndent3"/>
        <w:tabs>
          <w:tab w:val="left" w:pos="90" w:leader="none"/>
          <w:tab w:val="left" w:pos="2880" w:leader="none"/>
        </w:tabs>
        <w:spacing w:before="120" w:after="240"/>
        <w:ind w:start="3600" w:end="0"/>
        <w:rPr/>
      </w:pPr>
      <w:r>
        <w:rPr/>
        <w:tab/>
        <w:tab/>
        <w:t>SC=</w:t>
        <w:tab/>
        <w:t>Start Charge ($/start/unit) as defined above.</w:t>
        <w:tab/>
      </w:r>
    </w:p>
    <w:p>
      <w:pPr>
        <w:pStyle w:val="BodyTextIndent3"/>
        <w:tabs>
          <w:tab w:val="left" w:pos="90" w:leader="none"/>
          <w:tab w:val="left" w:pos="2880" w:leader="none"/>
        </w:tabs>
        <w:spacing w:before="120" w:after="240"/>
        <w:ind w:start="3600" w:end="0"/>
        <w:rPr/>
      </w:pPr>
      <w:r>
        <w:rPr/>
        <w:tab/>
      </w:r>
    </w:p>
    <w:p>
      <w:pPr>
        <w:pStyle w:val="Normal"/>
        <w:spacing w:lineRule="atLeast" w:line="240"/>
        <w:ind w:hanging="2880" w:start="2880" w:end="0"/>
        <w:rPr/>
      </w:pPr>
      <w:r>
        <w:rPr>
          <w:b/>
          <w:sz w:val="22"/>
        </w:rPr>
        <w:t>Energy Scheduling:</w:t>
        <w:tab/>
      </w:r>
      <w:r>
        <w:rPr>
          <w:sz w:val="22"/>
        </w:rPr>
        <w:t>Buyer shall notify ENA via recorded telephone line by 10:00 a.m. EPT on the last business day prior to delivery of its request to schedule tolling for such day(s).  Quantities scheduled over weekends and holidays would be the same for each day.  Buyer would have intra-day scheduling capability with a three-hour notification requirement.    Each energy schedule, once accepted by the Seller, would not be subject to curtailment for economic reasons. Buyer may schedule o</w:t>
      </w:r>
      <w:r>
        <w:rPr>
          <w:color w:val="000000"/>
          <w:sz w:val="22"/>
        </w:rPr>
        <w:t>nly the dispatch blocks outlined in the Guaranteed Heat Rate Table.</w:t>
      </w:r>
    </w:p>
    <w:p>
      <w:pPr>
        <w:pStyle w:val="BodyTextIndent3"/>
        <w:spacing w:before="120" w:after="240"/>
        <w:rPr>
          <w:color w:val="000000"/>
          <w:sz w:val="22"/>
        </w:rPr>
      </w:pPr>
      <w:r>
        <w:rPr>
          <w:color w:val="000000"/>
          <w:sz w:val="22"/>
        </w:rPr>
      </w:r>
    </w:p>
    <w:p>
      <w:pPr>
        <w:pStyle w:val="BodyTextIndent3"/>
        <w:spacing w:before="120" w:after="240"/>
        <w:rPr/>
      </w:pPr>
      <w:r>
        <w:rPr>
          <w:b/>
        </w:rPr>
        <w:t>Operating Limitations:</w:t>
      </w:r>
      <w:r>
        <w:rPr/>
        <w:tab/>
        <w:t>Operating limitations for Buyer are:  (a) maximum one (1) start per combustion turbine per day, (b) minimum four (4) hours run time per combustion turbine start, (c) minimum blocks of 50-65 MW per unit, and (d) maximum 800 hours run time during the term of the agreement.</w:t>
      </w:r>
    </w:p>
    <w:p>
      <w:pPr>
        <w:pStyle w:val="Normal"/>
        <w:keepNext w:val="true"/>
        <w:numPr>
          <w:ilvl w:val="0"/>
          <w:numId w:val="0"/>
        </w:numPr>
        <w:jc w:val="both"/>
        <w:outlineLvl w:val="6"/>
        <w:rPr>
          <w:b/>
          <w:sz w:val="22"/>
        </w:rPr>
      </w:pPr>
      <w:r>
        <w:rPr>
          <w:b/>
          <w:sz w:val="22"/>
        </w:rPr>
      </w:r>
    </w:p>
    <w:sectPr>
      <w:headerReference w:type="default" r:id="rId2"/>
      <w:footerReference w:type="default" r:id="rId3"/>
      <w:type w:val="nextPage"/>
      <w:pgSz w:w="12240" w:h="15840"/>
      <w:pgMar w:left="1800" w:right="1800" w:gutter="0" w:header="720" w:top="1800" w:footer="720" w:bottom="1800"/>
      <w:pgBorders w:display="allPages" w:offsetFrom="page">
        <w:top w:val="single" w:sz="18" w:space="24" w:color="000000"/>
        <w:left w:val="single" w:sz="18" w:space="24" w:color="000000"/>
        <w:bottom w:val="single" w:sz="18" w:space="24" w:color="000000"/>
        <w:right w:val="single" w:sz="18" w:space="24" w:color="000000"/>
      </w:pgBorders>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b/>
        <w:i/>
      </w:rPr>
      <w:t>This proposal is for discussion purposes only and is not intended to be complete and all-inclusive of the terms and conditions of the underlying transaction.  This proposal is subject to further review and approval by PSEG Energy Resources &amp; Trade LLC.  The information contained herein is proprietary and must be kept 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DRAFT-CONFIDENTIAL</w:t>
    </w:r>
  </w:p>
  <w:p>
    <w:pPr>
      <w:pStyle w:val="Header"/>
      <w:jc w:val="center"/>
      <w:rPr>
        <w:b/>
        <w:sz w:val="22"/>
      </w:rPr>
    </w:pPr>
    <w:r>
      <w:rPr>
        <w:b/>
        <w:sz w:val="22"/>
      </w:rPr>
      <w:t xml:space="preserve">Proposed Transaction Agreement Between </w:t>
    </w:r>
  </w:p>
  <w:p>
    <w:pPr>
      <w:pStyle w:val="Header"/>
      <w:jc w:val="center"/>
      <w:rPr>
        <w:b/>
        <w:sz w:val="22"/>
      </w:rPr>
    </w:pPr>
    <w:r>
      <w:rPr>
        <w:b/>
        <w:sz w:val="22"/>
      </w:rPr>
      <w:t xml:space="preserve">PSEG Energy Resources &amp; Trade LLC and </w:t>
    </w:r>
  </w:p>
  <w:p>
    <w:pPr>
      <w:pStyle w:val="Header"/>
      <w:jc w:val="center"/>
      <w:rPr>
        <w:b/>
        <w:sz w:val="22"/>
      </w:rPr>
    </w:pPr>
    <w:r>
      <w:rPr>
        <w:b/>
        <w:sz w:val="22"/>
      </w:rPr>
      <w:t>Enron North America Corp.</w:t>
    </w:r>
  </w:p>
  <w:p>
    <w:pPr>
      <w:pStyle w:val="Header"/>
      <w:jc w:val="center"/>
      <w:rPr>
        <w:b/>
        <w:sz w:val="22"/>
      </w:rPr>
    </w:pPr>
    <w:r>
      <w:rPr>
        <w:b/>
        <w:sz w:val="22"/>
      </w:rPr>
    </w:r>
  </w:p>
  <w:p>
    <w:pPr>
      <w:pStyle w:val="Header"/>
      <w:jc w:val="center"/>
      <w:rPr>
        <w:b/>
        <w:sz w:val="22"/>
      </w:rPr>
    </w:pPr>
    <w:r>
      <w:rPr>
        <w:b/>
        <w:sz w:val="22"/>
      </w:rPr>
      <w:fldChar w:fldCharType="begin"/>
    </w:r>
    <w:r>
      <w:rPr>
        <w:sz w:val="22"/>
        <w:b/>
      </w:rPr>
      <w:instrText xml:space="preserve"> DATE \@"M/d/yyyy" </w:instrText>
    </w:r>
    <w:r>
      <w:rPr>
        <w:sz w:val="22"/>
        <w:b/>
      </w:rPr>
      <w:fldChar w:fldCharType="separate"/>
    </w:r>
    <w:r>
      <w:rPr>
        <w:sz w:val="22"/>
        <w:b/>
      </w:rPr>
      <w:t>9/28/2025</w:t>
    </w:r>
    <w:r>
      <w:rPr>
        <w:sz w:val="22"/>
        <w:b/>
      </w:rPr>
      <w:fldChar w:fldCharType="end"/>
    </w:r>
  </w:p>
  <w:p>
    <w:pPr>
      <w:pStyle w:val="Header"/>
      <w:jc w:val="center"/>
      <w:rPr>
        <w:b/>
        <w:sz w:val="22"/>
      </w:rPr>
    </w:pPr>
    <w:r>
      <w:rPr>
        <w:b/>
        <w:sz w:val="22"/>
      </w:rPr>
    </w:r>
  </w:p>
  <w:p>
    <w:pPr>
      <w:pStyle w:val="Header"/>
      <w:jc w:val="center"/>
      <w:rPr>
        <w:b/>
        <w:sz w:val="22"/>
      </w:rPr>
    </w:pPr>
    <w:r>
      <w:rPr>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tabs>
        <w:tab w:val="clear" w:pos="720"/>
        <w:tab w:val="left" w:pos="-90" w:leader="none"/>
      </w:tabs>
      <w:ind w:hanging="2880" w:start="2880" w:end="0"/>
      <w:outlineLvl w:val="3"/>
    </w:pPr>
    <w:rPr>
      <w:b/>
      <w:sz w:val="24"/>
    </w:rPr>
  </w:style>
  <w:style w:type="paragraph" w:styleId="Heading5">
    <w:name w:val="heading 5"/>
    <w:basedOn w:val="Normal"/>
    <w:next w:val="Normal"/>
    <w:qFormat/>
    <w:pPr>
      <w:keepNext w:val="true"/>
      <w:numPr>
        <w:ilvl w:val="4"/>
        <w:numId w:val="1"/>
      </w:numPr>
      <w:tabs>
        <w:tab w:val="clear" w:pos="720"/>
        <w:tab w:val="left" w:pos="90" w:leader="none"/>
      </w:tabs>
      <w:ind w:hanging="2880" w:start="2880" w:end="0"/>
      <w:jc w:val="both"/>
      <w:outlineLvl w:val="4"/>
    </w:pPr>
    <w:rPr>
      <w:b/>
      <w:sz w:val="22"/>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tabs>
        <w:tab w:val="clear" w:pos="720"/>
        <w:tab w:val="left" w:pos="90" w:leader="none"/>
      </w:tabs>
      <w:jc w:val="both"/>
      <w:outlineLvl w:val="6"/>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rPr>
      <w:sz w:val="22"/>
    </w:rPr>
  </w:style>
  <w:style w:type="paragraph" w:styleId="BodyTextIndent2">
    <w:name w:val="Body Text Indent 2"/>
    <w:basedOn w:val="Normal"/>
    <w:qFormat/>
    <w:pPr>
      <w:ind w:hanging="0" w:start="2880" w:end="0"/>
      <w:jc w:val="both"/>
    </w:pPr>
    <w:rPr>
      <w:sz w:val="18"/>
    </w:rPr>
  </w:style>
  <w:style w:type="paragraph" w:styleId="BodyTextIndent3">
    <w:name w:val="Body Text Indent 3"/>
    <w:basedOn w:val="Normal"/>
    <w:qFormat/>
    <w:pPr>
      <w:tabs>
        <w:tab w:val="clear" w:pos="720"/>
        <w:tab w:val="left" w:pos="90" w:leader="none"/>
      </w:tabs>
      <w:ind w:hanging="2880" w:start="288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2000-12-11T21:04:00Z</dcterms:created>
  <dc:creator>mweaver</dc:creator>
  <dc:description/>
  <dc:language>en-CA</dc:language>
  <cp:lastModifiedBy>jwagner2</cp:lastModifiedBy>
  <cp:lastPrinted>2000-12-11T17:40:00Z</cp:lastPrinted>
  <dcterms:modified xsi:type="dcterms:W3CDTF">2000-12-11T21:44:00Z</dcterms:modified>
  <cp:revision>8</cp:revision>
  <dc:subject/>
  <dc:title>November 14, 1997</dc:title>
</cp:coreProperties>
</file>