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1"/>
        <w:rPr/>
      </w:pPr>
      <w:r>
        <w:rPr/>
        <w:t>Schedule 4.1(g)</w:t>
      </w:r>
    </w:p>
    <w:p>
      <w:pPr>
        <w:pStyle w:val="Title1"/>
        <w:rPr/>
      </w:pPr>
      <w:r>
        <w:rPr/>
        <w:t>to</w:t>
      </w:r>
    </w:p>
    <w:p>
      <w:pPr>
        <w:pStyle w:val="Title1"/>
        <w:rPr/>
      </w:pPr>
      <w:r>
        <w:rPr/>
        <w:t>Purchase and Sale Agreement</w:t>
      </w:r>
    </w:p>
    <w:p>
      <w:pPr>
        <w:pStyle w:val="Title2"/>
        <w:rPr/>
      </w:pPr>
      <w:r>
        <w:rPr/>
        <w:t>VIOLATIONS OR BREACHES</w:t>
      </w:r>
    </w:p>
    <w:p>
      <w:pPr>
        <w:pStyle w:val="bodytext1"/>
        <w:rPr/>
      </w:pPr>
      <w:r>
        <w:rPr/>
        <w:t>New Albany Power I, L.L.C.</w:t>
      </w:r>
    </w:p>
    <w:p>
      <w:pPr>
        <w:pStyle w:val="bodytext1"/>
        <w:rPr/>
      </w:pPr>
      <w:r>
        <w:rPr/>
      </w:r>
    </w:p>
    <w:p>
      <w:pPr>
        <w:pStyle w:val="BodyText"/>
        <w:rPr/>
      </w:pPr>
      <w:r>
        <w:rPr>
          <w:rStyle w:val="ParaNum"/>
        </w:rPr>
        <w:t>1.</w:t>
        <w:tab/>
      </w:r>
      <w:r>
        <w:rPr/>
        <w:t xml:space="preserve">Violations of antitrust or other Laws which would not occur but for the fact that Buyer is </w:t>
        <w:tab/>
        <w:t>a party to the Purchase and Sale Agreement.</w:t>
      </w:r>
    </w:p>
    <w:p>
      <w:pPr>
        <w:pStyle w:val="BodyText"/>
        <w:rPr/>
      </w:pPr>
      <w:r>
        <w:rPr/>
        <w:t>2.</w:t>
        <w:tab/>
      </w:r>
      <w:r>
        <w:rPr>
          <w:i/>
          <w:iCs/>
        </w:rPr>
        <w:t xml:space="preserve">See </w:t>
      </w:r>
      <w:r>
        <w:rPr/>
        <w:t xml:space="preserve">matters described in </w:t>
      </w:r>
      <w:r>
        <w:rPr>
          <w:u w:val="single"/>
        </w:rPr>
        <w:t>Schedule 4.1(j)</w:t>
      </w:r>
      <w:r>
        <w:rPr/>
        <w:t>.</w:t>
      </w:r>
    </w:p>
    <w:p>
      <w:pPr>
        <w:pStyle w:val="BodyText"/>
        <w:rPr/>
      </w:pPr>
      <w:r>
        <w:rPr/>
      </w:r>
    </w:p>
    <w:p>
      <w:pPr>
        <w:pStyle w:val="BodyText"/>
        <w:rPr/>
      </w:pPr>
      <w:r>
        <w:rPr/>
      </w:r>
      <w:r>
        <w:br w:type="page"/>
      </w:r>
    </w:p>
    <w:p>
      <w:pPr>
        <w:pStyle w:val="Title1"/>
        <w:rPr/>
      </w:pPr>
      <w:r>
        <w:rPr/>
        <w:t>Schedule 4.1(h)</w:t>
      </w:r>
    </w:p>
    <w:p>
      <w:pPr>
        <w:pStyle w:val="Title1"/>
        <w:rPr/>
      </w:pPr>
      <w:r>
        <w:rPr/>
        <w:t>to</w:t>
      </w:r>
    </w:p>
    <w:p>
      <w:pPr>
        <w:pStyle w:val="Title1"/>
        <w:rPr/>
      </w:pPr>
      <w:r>
        <w:rPr/>
        <w:t>Purchase and Sale Agreement</w:t>
      </w:r>
    </w:p>
    <w:p>
      <w:pPr>
        <w:pStyle w:val="Title2"/>
        <w:rPr/>
      </w:pPr>
      <w:r>
        <w:rPr/>
        <w:t>CONSENTS</w:t>
      </w:r>
    </w:p>
    <w:p>
      <w:pPr>
        <w:pStyle w:val="BodyText"/>
        <w:rPr>
          <w:b/>
          <w:u w:val="single"/>
        </w:rPr>
      </w:pPr>
      <w:r>
        <w:rPr>
          <w:b/>
          <w:u w:val="single"/>
        </w:rPr>
        <w:t>New Albany Power I, L.L.C.</w:t>
      </w:r>
    </w:p>
    <w:p>
      <w:pPr>
        <w:pStyle w:val="Heading1"/>
        <w:numPr>
          <w:ilvl w:val="0"/>
          <w:numId w:val="3"/>
        </w:numPr>
        <w:ind w:hanging="0" w:start="0"/>
        <w:rPr>
          <w:b/>
        </w:rPr>
      </w:pPr>
      <w:r>
        <w:rPr/>
        <w:t>Air Permit No. 2700-00037 from Mississippi Department of Environmental Quality (“MDEQ”) issued December 14, 1998, as modified and amended.  An application to transfer ownership must be submitted 60 days prior to the closing of the sale under the Purchase and Sale Agreement, on a form supplied by MDEQ; it must be accompanied by the Buyer’s environmental compliance history and a written agreement for the date of transfer of responsibility.</w:t>
      </w:r>
      <w:r>
        <w:br w:type="page"/>
      </w:r>
    </w:p>
    <w:p>
      <w:pPr>
        <w:pStyle w:val="Title1"/>
        <w:rPr/>
      </w:pPr>
      <w:r>
        <w:rPr/>
        <w:t>Schedule 4.1(i)</w:t>
      </w:r>
    </w:p>
    <w:p>
      <w:pPr>
        <w:pStyle w:val="Title1"/>
        <w:rPr/>
      </w:pPr>
      <w:r>
        <w:rPr/>
        <w:t>to</w:t>
      </w:r>
    </w:p>
    <w:p>
      <w:pPr>
        <w:pStyle w:val="Title1"/>
        <w:rPr/>
      </w:pPr>
      <w:r>
        <w:rPr/>
        <w:t>Purchase and Sale Agreement</w:t>
      </w:r>
    </w:p>
    <w:p>
      <w:pPr>
        <w:pStyle w:val="Title2"/>
        <w:rPr/>
      </w:pPr>
      <w:r>
        <w:rPr/>
        <w:t>ACTIONS</w:t>
      </w:r>
    </w:p>
    <w:p>
      <w:pPr>
        <w:pStyle w:val="BodyText"/>
        <w:rPr>
          <w:b/>
          <w:u w:val="single"/>
        </w:rPr>
      </w:pPr>
      <w:r>
        <w:rPr>
          <w:b/>
          <w:u w:val="single"/>
        </w:rPr>
        <w:t>New Albany Power I, L.L.C.</w:t>
      </w:r>
    </w:p>
    <w:p>
      <w:pPr>
        <w:pStyle w:val="Heading1"/>
        <w:numPr>
          <w:ilvl w:val="0"/>
          <w:numId w:val="4"/>
        </w:numPr>
        <w:ind w:hanging="0" w:start="0"/>
        <w:rPr/>
      </w:pPr>
      <w:r>
        <w:rPr/>
        <w:t>Although New Albany Power I, L.L.C. is not a party to the suit, an Action between General Electric Company (“GE”) and Power Systems Manufacturing, Inc. (“Power Systems”) is ongoing.  This has relevance to the New Albany site because Power Systems was one of the vendors that participated in the refurbishment of the turbines being used at the New Albany plant (amongst other things, they provided low emissions combustors).  In the suit between GE and Power Systems, GE alleges that Power Systems has violated intellectual property laws in performing its refurbishment services (by providing low emissions combustors in the refurbishment of the New Albany turbine sets).  If this Action is resolved in favor of GE, the New Albany plant might be impacted.  Power Systems has offered to remove the violating technology (i.e. the portion of the refurbishment work that GE alleges was in violation of intellectual property laws) and replace it with newer, proprietary technology which should reduce air emissions to less than 9ppm.  The proposed cost for this replacement is estimated to be approximately $7,500,000.</w:t>
      </w:r>
      <w:r>
        <w:br w:type="page"/>
      </w:r>
    </w:p>
    <w:p>
      <w:pPr>
        <w:pStyle w:val="Title1"/>
        <w:rPr/>
      </w:pPr>
      <w:r>
        <w:rPr/>
        <w:t>Schedule 4.1(j)</w:t>
      </w:r>
    </w:p>
    <w:p>
      <w:pPr>
        <w:pStyle w:val="Title1"/>
        <w:rPr/>
      </w:pPr>
      <w:r>
        <w:rPr/>
        <w:t>to</w:t>
      </w:r>
    </w:p>
    <w:p>
      <w:pPr>
        <w:pStyle w:val="Title1"/>
        <w:rPr/>
      </w:pPr>
      <w:r>
        <w:rPr/>
        <w:t>Purchase and Sale Agreement</w:t>
      </w:r>
    </w:p>
    <w:p>
      <w:pPr>
        <w:pStyle w:val="Title2"/>
        <w:rPr/>
      </w:pPr>
      <w:r>
        <w:rPr/>
        <w:t>COMPLIANCE WITH LAWS</w:t>
      </w:r>
    </w:p>
    <w:p>
      <w:pPr>
        <w:pStyle w:val="BodyText"/>
        <w:rPr>
          <w:b/>
          <w:u w:val="single"/>
        </w:rPr>
      </w:pPr>
      <w:r>
        <w:rPr>
          <w:b/>
          <w:u w:val="single"/>
        </w:rPr>
        <w:t>New Albany Power I, L.L.C.</w:t>
      </w:r>
    </w:p>
    <w:p>
      <w:pPr>
        <w:pStyle w:val="BodyText"/>
        <w:ind w:hanging="720" w:start="720" w:end="0"/>
        <w:rPr>
          <w:b/>
          <w:bCs/>
        </w:rPr>
      </w:pPr>
      <w:r>
        <w:rPr/>
        <w:t>1.</w:t>
        <w:tab/>
      </w:r>
      <w:r>
        <w:rPr>
          <w:rStyle w:val="ParaNum"/>
        </w:rPr>
        <w:t xml:space="preserve">Potential Notice of Violation (“NOV”) for implementing a customized sulfur fuel monitoring schedule without prior approval from the EPA.  New Albany Power I, L.L.C. submitted a request to use the EPA recommended natural gas sulfur monitoring protocol in August 1999 and began implementation of this protocol immediately without prior approval.  While such requests are routine and typically receive automatic approval, the Facility was technically required to have an approval in writing prior to implementation.  On May 16, 2000, EPA Region 4, which has jurisdiction over the Facility, issued a blanket approval for all facilities wishing to utilize the EPA protocol for sulfur monitoring of natural gas.  State inspectors, however, indicated that this blanket approval could not retroactively be applied to 1999.  While there is the potential for an NOV to be issued, the inspectors indicated that an enforcement Action is highly unlikely.  </w:t>
      </w:r>
      <w:r>
        <w:rPr>
          <w:rStyle w:val="ParaNum"/>
          <w:b/>
          <w:bCs/>
        </w:rPr>
        <w:t>[Gus Eghneim to confirm.]</w:t>
      </w:r>
    </w:p>
    <w:p>
      <w:pPr>
        <w:pStyle w:val="BodyText"/>
        <w:ind w:hanging="720" w:start="720" w:end="0"/>
        <w:rPr>
          <w:rStyle w:val="ParaNum"/>
        </w:rPr>
      </w:pPr>
      <w:r>
        <w:rPr/>
        <w:t>2.</w:t>
        <w:tab/>
        <w:t xml:space="preserve">The U.S. EPA’s Acid Rain Regulation at 40 CFR 72.30 states that new units must submit complete Title IV Acid Rain Permit Applications 24 months before “Commencing Operation”. “Commencing operation” is defined in 40 CFR 72.2 as the first mechanical operation of the units.  Technically, the new units at the Caledonia plant site “commenced operation” prior to New Albany Power I, L.L.C. submitting the Title IV Acid Rain Permit Application.  Based upon Seller’s best information, Seller does not believe that the U.S. EPA will enforce the regulation at 40 CFR 72.30. </w:t>
      </w:r>
      <w:r>
        <w:br w:type="page"/>
      </w:r>
    </w:p>
    <w:p>
      <w:pPr>
        <w:pStyle w:val="Title"/>
        <w:rPr/>
      </w:pPr>
      <w:r>
        <w:rPr/>
        <w:t>Schedule 4.1(m)</w:t>
      </w:r>
    </w:p>
    <w:p>
      <w:pPr>
        <w:pStyle w:val="Title1"/>
        <w:rPr/>
      </w:pPr>
      <w:r>
        <w:rPr/>
        <w:t>to</w:t>
      </w:r>
    </w:p>
    <w:p>
      <w:pPr>
        <w:pStyle w:val="Title1"/>
        <w:rPr/>
      </w:pPr>
      <w:r>
        <w:rPr/>
        <w:t>Purchase and Sale Agreement</w:t>
      </w:r>
    </w:p>
    <w:p>
      <w:pPr>
        <w:pStyle w:val="Title2"/>
        <w:rPr/>
      </w:pPr>
      <w:r>
        <w:rPr/>
        <w:t>PROJECT DOCUMENTS</w:t>
      </w:r>
    </w:p>
    <w:p>
      <w:pPr>
        <w:pStyle w:val="BodyText"/>
        <w:rPr>
          <w:b/>
          <w:u w:val="single"/>
        </w:rPr>
      </w:pPr>
      <w:r>
        <w:rPr>
          <w:b/>
          <w:u w:val="single"/>
        </w:rPr>
        <w:t>New Albany Power I, L.L.C.</w:t>
      </w:r>
    </w:p>
    <w:p>
      <w:pPr>
        <w:pStyle w:val="BodyText"/>
        <w:numPr>
          <w:ilvl w:val="0"/>
          <w:numId w:val="0"/>
        </w:numPr>
        <w:outlineLvl w:val="0"/>
        <w:rPr>
          <w:u w:val="single"/>
        </w:rPr>
      </w:pPr>
      <w:r>
        <w:rPr>
          <w:u w:val="single"/>
        </w:rPr>
        <w:t>PART I-PROJECT DOCUMENTS</w:t>
      </w:r>
    </w:p>
    <w:p>
      <w:pPr>
        <w:pStyle w:val="BodyText"/>
        <w:numPr>
          <w:ilvl w:val="0"/>
          <w:numId w:val="0"/>
        </w:numPr>
        <w:outlineLvl w:val="0"/>
        <w:rPr>
          <w:b/>
        </w:rPr>
      </w:pPr>
      <w:r>
        <w:rPr>
          <w:b/>
        </w:rPr>
        <w:t>Gas Agreements</w:t>
      </w:r>
    </w:p>
    <w:p>
      <w:pPr>
        <w:pStyle w:val="Heading1"/>
        <w:numPr>
          <w:ilvl w:val="0"/>
          <w:numId w:val="5"/>
        </w:numPr>
        <w:ind w:hanging="0" w:start="0"/>
        <w:rPr/>
      </w:pPr>
      <w:r>
        <w:rPr/>
        <w:t>FTS1 Service Agreement between Columbia Gulf Transmission Company and New Albany Power I, L.L.C. with a term from June 1, 1999 to September 30, 2008 dated March 30, 1999.</w:t>
      </w:r>
    </w:p>
    <w:p>
      <w:pPr>
        <w:pStyle w:val="Heading1"/>
        <w:ind w:hanging="0" w:start="0"/>
        <w:rPr/>
      </w:pPr>
      <w:r>
        <w:rPr/>
        <w:t>Discount Letter Agreement for FTS1 Service Agreement between New Albany Power I, L.L.C. and Columbia Gulf Transmission Company dated March 23, 1999.</w:t>
      </w:r>
    </w:p>
    <w:p>
      <w:pPr>
        <w:pStyle w:val="Heading1"/>
        <w:ind w:hanging="0" w:start="0"/>
        <w:rPr/>
      </w:pPr>
      <w:r>
        <w:rPr/>
        <w:t>ITS Service Agreement between New Albany Power I, L.L.C. and Columbia Gulf Transmission Company dated April 15, 1999.</w:t>
      </w:r>
    </w:p>
    <w:p>
      <w:pPr>
        <w:pStyle w:val="Heading1"/>
        <w:ind w:hanging="0" w:start="0"/>
        <w:rPr/>
      </w:pPr>
      <w:r>
        <w:rPr/>
        <w:t>Transmission Precedent and Option Agreement between New Albany Power I, L.L.C. and Columbia Gulf Transmission Company dated December 11, 1998.</w:t>
      </w:r>
    </w:p>
    <w:p>
      <w:pPr>
        <w:pStyle w:val="Heading1"/>
        <w:ind w:hanging="0" w:start="0"/>
        <w:rPr/>
      </w:pPr>
      <w:r>
        <w:rPr/>
        <w:t>Amendment Agreement to Transmission Precedent and Option Agreement between New Albany Power I, L.L.C. and Columbia Gulf Transmission Company dated March 31, 1999.</w:t>
      </w:r>
    </w:p>
    <w:p>
      <w:pPr>
        <w:pStyle w:val="Heading1"/>
        <w:ind w:hanging="0" w:start="0"/>
        <w:rPr/>
      </w:pPr>
      <w:r>
        <w:rPr/>
        <w:t>Construction, Ownership, Operation and Maintenance Agreement (“COOM”) between New Albany Power I, L.L.C. and Columbia Gulf Transmission Company dated March 31, 1999.</w:t>
      </w:r>
    </w:p>
    <w:p>
      <w:pPr>
        <w:pStyle w:val="Heading1"/>
        <w:ind w:hanging="0" w:start="0"/>
        <w:rPr/>
      </w:pPr>
      <w:r>
        <w:rPr/>
        <w:t>Amendment Agreement to COOM between New Albany Power I, L.L.C. and Columbia Gulf Transmission Company dated March 31, 1999.</w:t>
      </w:r>
    </w:p>
    <w:p>
      <w:pPr>
        <w:pStyle w:val="Heading1"/>
        <w:ind w:hanging="0" w:start="0"/>
        <w:rPr/>
      </w:pPr>
      <w:r>
        <w:rPr/>
        <w:t>Advance Payment Agreement between New Albany Power I, L.L.C. and Columbia Gulf Transmission Company dated March 31, 1999.</w:t>
      </w:r>
    </w:p>
    <w:p>
      <w:pPr>
        <w:pStyle w:val="Heading1"/>
        <w:ind w:hanging="0" w:start="0"/>
        <w:rPr/>
      </w:pPr>
      <w:r>
        <w:rPr/>
        <w:t>Right of Way between New Albany Power I, L.L.C. and Columbia Gulf Transmission Company for gas lines dated September 23, 1998.</w:t>
      </w:r>
    </w:p>
    <w:p>
      <w:pPr>
        <w:pStyle w:val="Heading1"/>
        <w:ind w:hanging="0" w:start="0"/>
        <w:rPr/>
      </w:pPr>
      <w:r>
        <w:rPr/>
        <w:t>Letter COOM Agreement between Columbia Gulf Transmission Company and New Albany Power I, L.L.C. dated November 18, 1998.</w:t>
      </w:r>
    </w:p>
    <w:p>
      <w:pPr>
        <w:pStyle w:val="Heading1"/>
        <w:ind w:hanging="0" w:start="0"/>
        <w:rPr/>
      </w:pPr>
      <w:r>
        <w:rPr/>
        <w:t>Letter Agreement re: 10 year term of COOM between New Albany Power I, L.L.C. and Columbia Gulf Transmission Company dated January 13, 1999.</w:t>
      </w:r>
    </w:p>
    <w:p>
      <w:pPr>
        <w:pStyle w:val="BodyText"/>
        <w:keepNext w:val="true"/>
        <w:numPr>
          <w:ilvl w:val="0"/>
          <w:numId w:val="0"/>
        </w:numPr>
        <w:outlineLvl w:val="0"/>
        <w:rPr>
          <w:b/>
        </w:rPr>
      </w:pPr>
      <w:r>
        <w:rPr>
          <w:b/>
        </w:rPr>
        <w:t>Electricity Agreements</w:t>
      </w:r>
    </w:p>
    <w:p>
      <w:pPr>
        <w:pStyle w:val="Heading1"/>
        <w:numPr>
          <w:ilvl w:val="0"/>
          <w:numId w:val="6"/>
        </w:numPr>
        <w:ind w:hanging="0" w:start="0"/>
        <w:rPr/>
      </w:pPr>
      <w:r>
        <w:rPr/>
        <w:t>Interconnection Agreement between Tennessee Valley Authority and New Albany Power I, L.L.C. dated February 22, 1999.</w:t>
      </w:r>
    </w:p>
    <w:p>
      <w:pPr>
        <w:pStyle w:val="Heading1"/>
        <w:ind w:hanging="0" w:start="0"/>
        <w:rPr/>
      </w:pPr>
      <w:r>
        <w:rPr/>
        <w:t>Bill of Sale by Enron Capital &amp; Trade Resources Corp. to Tennessee Valley Authority for interconnection equipment.</w:t>
      </w:r>
    </w:p>
    <w:p>
      <w:pPr>
        <w:pStyle w:val="Heading1"/>
        <w:ind w:hanging="0" w:start="0"/>
        <w:rPr/>
      </w:pPr>
      <w:r>
        <w:rPr/>
        <w:t>Easement granted by New Albany Power I, L.L.C. to Tennessee Valley Authority relating to Bill of Sale and Interconnection Agreement dated June 30, 1999.</w:t>
      </w:r>
    </w:p>
    <w:p>
      <w:pPr>
        <w:pStyle w:val="Heading1"/>
        <w:ind w:hanging="0" w:start="0"/>
        <w:rPr/>
      </w:pPr>
      <w:r>
        <w:rPr/>
        <w:t>Industrial Power Contract between the City of New Albany, Mississippi and New Albany Power I, L.L.C. dated May 1, 1999.</w:t>
      </w:r>
    </w:p>
    <w:p>
      <w:pPr>
        <w:pStyle w:val="BodyText"/>
        <w:numPr>
          <w:ilvl w:val="0"/>
          <w:numId w:val="0"/>
        </w:numPr>
        <w:outlineLvl w:val="0"/>
        <w:rPr>
          <w:b/>
        </w:rPr>
      </w:pPr>
      <w:r>
        <w:rPr>
          <w:b/>
        </w:rPr>
        <w:t>Equipment Agreements</w:t>
      </w:r>
    </w:p>
    <w:p>
      <w:pPr>
        <w:pStyle w:val="Heading1"/>
        <w:numPr>
          <w:ilvl w:val="0"/>
          <w:numId w:val="7"/>
        </w:numPr>
        <w:ind w:hanging="0" w:start="0"/>
        <w:rPr/>
      </w:pPr>
      <w:r>
        <w:rPr/>
        <w:t>Agreement between New Albany Power I, L.L.C. and ABB Power T &amp; D Company, Inc. for Transformer and Circuit Breaker Package (for Southeastern Peaker Power Project Located in Union County, Miss.) dated effective August 1, 1998.</w:t>
      </w:r>
    </w:p>
    <w:p>
      <w:pPr>
        <w:pStyle w:val="Heading1"/>
        <w:ind w:hanging="0" w:start="0"/>
        <w:rPr/>
      </w:pPr>
      <w:r>
        <w:rPr/>
        <w:t>Agreement between New Albany Power I, L.L.C. and ABB Power T &amp; D Company, Inc. for Transformer Package (for Southeastern Peaker Power Project Located in Union County, Miss.) dated August 1, 1998.</w:t>
      </w:r>
    </w:p>
    <w:p>
      <w:pPr>
        <w:pStyle w:val="Heading1"/>
        <w:ind w:hanging="0" w:start="0"/>
        <w:rPr/>
      </w:pPr>
      <w:r>
        <w:rPr/>
        <w:t>Project Agreement between New Albany Power I, L.L.C. and Mississippi Department of Economic and Community Development regarding tax incentives dated June 29, 1999.</w:t>
      </w:r>
    </w:p>
    <w:p>
      <w:pPr>
        <w:pStyle w:val="BodyText"/>
        <w:rPr>
          <w:u w:val="single"/>
        </w:rPr>
      </w:pPr>
      <w:r>
        <w:rPr>
          <w:u w:val="single"/>
        </w:rPr>
        <w:t>PART II-BREACHES/MATERIAL DEFAULTS</w:t>
      </w:r>
    </w:p>
    <w:p>
      <w:pPr>
        <w:pStyle w:val="BodyText"/>
        <w:rPr/>
      </w:pPr>
      <w:r>
        <w:rPr/>
        <w:t>None.</w:t>
      </w:r>
    </w:p>
    <w:p>
      <w:pPr>
        <w:pStyle w:val="BodyText"/>
        <w:rPr/>
      </w:pPr>
      <w:r>
        <w:rPr/>
      </w:r>
    </w:p>
    <w:p>
      <w:pPr>
        <w:pStyle w:val="BodyText"/>
        <w:rPr/>
      </w:pPr>
      <w:r>
        <w:rPr/>
      </w:r>
      <w:r>
        <w:br w:type="page"/>
      </w:r>
    </w:p>
    <w:p>
      <w:pPr>
        <w:pStyle w:val="Title1"/>
        <w:rPr/>
      </w:pPr>
      <w:r>
        <w:rPr/>
        <w:t>Schedule 4.1(n)</w:t>
      </w:r>
    </w:p>
    <w:p>
      <w:pPr>
        <w:pStyle w:val="Title1"/>
        <w:rPr/>
      </w:pPr>
      <w:r>
        <w:rPr/>
        <w:t>to</w:t>
      </w:r>
    </w:p>
    <w:p>
      <w:pPr>
        <w:pStyle w:val="Title1"/>
        <w:rPr/>
      </w:pPr>
      <w:r>
        <w:rPr/>
        <w:t>Purchase and Sale Agreement</w:t>
      </w:r>
    </w:p>
    <w:p>
      <w:pPr>
        <w:pStyle w:val="Title2"/>
        <w:rPr/>
      </w:pPr>
      <w:r>
        <w:rPr/>
        <w:t>ENVIRONMENTAL MATTERS</w:t>
      </w:r>
    </w:p>
    <w:p>
      <w:pPr>
        <w:pStyle w:val="BodyText"/>
        <w:rPr>
          <w:b/>
          <w:u w:val="single"/>
        </w:rPr>
      </w:pPr>
      <w:r>
        <w:rPr>
          <w:b/>
          <w:u w:val="single"/>
        </w:rPr>
        <w:t>New Albany Power I, L.L.C.</w:t>
      </w:r>
    </w:p>
    <w:p>
      <w:pPr>
        <w:pStyle w:val="BodyText"/>
        <w:rPr/>
      </w:pPr>
      <w:r>
        <w:rPr>
          <w:rStyle w:val="ParaNum"/>
        </w:rPr>
        <w:t>None.</w:t>
      </w:r>
      <w:r>
        <w:br w:type="page"/>
      </w:r>
    </w:p>
    <w:p>
      <w:pPr>
        <w:pStyle w:val="Title1"/>
        <w:rPr/>
      </w:pPr>
      <w:r>
        <w:rPr/>
        <w:t>Schedule 4.1(o)</w:t>
      </w:r>
    </w:p>
    <w:p>
      <w:pPr>
        <w:pStyle w:val="Title1"/>
        <w:rPr/>
      </w:pPr>
      <w:r>
        <w:rPr/>
        <w:t>to</w:t>
      </w:r>
    </w:p>
    <w:p>
      <w:pPr>
        <w:pStyle w:val="Title1"/>
        <w:rPr/>
      </w:pPr>
      <w:r>
        <w:rPr/>
        <w:t>Purchase and Sale Agreement</w:t>
      </w:r>
    </w:p>
    <w:p>
      <w:pPr>
        <w:pStyle w:val="Title2"/>
        <w:rPr/>
      </w:pPr>
      <w:r>
        <w:rPr/>
        <w:t>TAX MATTERS</w:t>
      </w:r>
    </w:p>
    <w:p>
      <w:pPr>
        <w:pStyle w:val="BodyText"/>
        <w:rPr>
          <w:b/>
          <w:u w:val="single"/>
        </w:rPr>
      </w:pPr>
      <w:r>
        <w:rPr>
          <w:b/>
          <w:u w:val="single"/>
        </w:rPr>
        <w:t>New Albany Power I, L.L.C.</w:t>
      </w:r>
    </w:p>
    <w:p>
      <w:pPr>
        <w:pStyle w:val="Heading1"/>
        <w:numPr>
          <w:ilvl w:val="0"/>
          <w:numId w:val="0"/>
        </w:numPr>
        <w:tabs>
          <w:tab w:val="clear" w:pos="720"/>
          <w:tab w:val="left" w:pos="360" w:leader="none"/>
        </w:tabs>
        <w:ind w:hanging="720" w:start="720" w:end="0"/>
        <w:rPr/>
      </w:pPr>
      <w:bookmarkStart w:id="0" w:name="bkTemp"/>
      <w:bookmarkEnd w:id="0"/>
      <w:r>
        <w:rPr/>
        <w:t>1.</w:t>
        <w:tab/>
        <w:tab/>
        <w:t xml:space="preserve">Mississippi State Tax Commission has completed Sales &amp; Use Tax Audit. </w:t>
      </w:r>
      <w:r>
        <w:rPr>
          <w:b/>
          <w:bCs/>
        </w:rPr>
        <w:t xml:space="preserve"> </w:t>
      </w:r>
      <w:r>
        <w:rPr/>
        <w:t>A settlement has been entered into with Mississippi State Tax Commission, a refund is pending.</w:t>
      </w:r>
    </w:p>
    <w:p>
      <w:pPr>
        <w:pStyle w:val="BodyText"/>
        <w:rPr/>
      </w:pPr>
      <w:r>
        <w:rPr/>
      </w:r>
      <w:r>
        <w:br w:type="page"/>
      </w:r>
    </w:p>
    <w:p>
      <w:pPr>
        <w:pStyle w:val="Title1"/>
        <w:rPr/>
      </w:pPr>
      <w:r>
        <w:rPr/>
        <w:t>Schedule 4.1(p)</w:t>
      </w:r>
    </w:p>
    <w:p>
      <w:pPr>
        <w:pStyle w:val="Title1"/>
        <w:rPr/>
      </w:pPr>
      <w:r>
        <w:rPr/>
        <w:t>to</w:t>
      </w:r>
    </w:p>
    <w:p>
      <w:pPr>
        <w:pStyle w:val="Title1"/>
        <w:rPr/>
      </w:pPr>
      <w:r>
        <w:rPr/>
        <w:t>Purchase and Sale Agreement</w:t>
      </w:r>
    </w:p>
    <w:p>
      <w:pPr>
        <w:pStyle w:val="Title2"/>
        <w:rPr/>
      </w:pPr>
      <w:r>
        <w:rPr/>
        <w:t>EMPLOYEE MATTERS</w:t>
      </w:r>
    </w:p>
    <w:p>
      <w:pPr>
        <w:pStyle w:val="BodyText"/>
        <w:rPr>
          <w:b/>
          <w:u w:val="single"/>
        </w:rPr>
      </w:pPr>
      <w:r>
        <w:rPr>
          <w:b/>
          <w:u w:val="single"/>
        </w:rPr>
        <w:t>New Albany Power I, L.L.C.</w:t>
      </w:r>
    </w:p>
    <w:p>
      <w:pPr>
        <w:pStyle w:val="BodyText"/>
        <w:rPr/>
      </w:pPr>
      <w:r>
        <w:rPr>
          <w:rStyle w:val="ParaNum"/>
        </w:rPr>
        <w:t>None.</w:t>
      </w:r>
      <w:r>
        <w:rPr/>
        <w:t xml:space="preserve"> </w:t>
      </w:r>
      <w:r>
        <w:br w:type="page"/>
      </w:r>
    </w:p>
    <w:p>
      <w:pPr>
        <w:pStyle w:val="Title1"/>
        <w:rPr/>
      </w:pPr>
      <w:r>
        <w:rPr/>
        <w:t>Schedule 4.1(r)</w:t>
      </w:r>
    </w:p>
    <w:p>
      <w:pPr>
        <w:pStyle w:val="Title1"/>
        <w:rPr/>
      </w:pPr>
      <w:r>
        <w:rPr/>
        <w:t>to</w:t>
      </w:r>
    </w:p>
    <w:p>
      <w:pPr>
        <w:pStyle w:val="Title1"/>
        <w:rPr/>
      </w:pPr>
      <w:r>
        <w:rPr/>
        <w:t>Purchase and Sale Agreement</w:t>
      </w:r>
    </w:p>
    <w:p>
      <w:pPr>
        <w:pStyle w:val="Title2"/>
        <w:rPr/>
      </w:pPr>
      <w:r>
        <w:rPr/>
        <w:t>PERSONAL PROPERTY</w:t>
      </w:r>
    </w:p>
    <w:p>
      <w:pPr>
        <w:pStyle w:val="BodyText"/>
        <w:rPr>
          <w:b/>
          <w:u w:val="single"/>
        </w:rPr>
      </w:pPr>
      <w:r>
        <w:rPr>
          <w:b/>
          <w:u w:val="single"/>
        </w:rPr>
        <w:t>New Albany Power I, L.L.C.</w:t>
      </w:r>
    </w:p>
    <w:p>
      <w:pPr>
        <w:pStyle w:val="BodyText"/>
        <w:rPr>
          <w:u w:val="single"/>
        </w:rPr>
      </w:pPr>
      <w:r>
        <w:rPr>
          <w:u w:val="single"/>
        </w:rPr>
        <w:t>PART I - DESCRIPTION OF PERSONAL PROPERTY</w:t>
      </w:r>
    </w:p>
    <w:p>
      <w:pPr>
        <w:pStyle w:val="BodyText"/>
        <w:rPr>
          <w:b/>
        </w:rPr>
      </w:pPr>
      <w:r>
        <w:rPr/>
        <w:t>1.</w:t>
        <w:tab/>
        <w:t xml:space="preserve">That certain [_____] MW (nominal) natural gas-fired, simple cycle merchant generation </w:t>
        <w:tab/>
        <w:t xml:space="preserve">facility consisting of [_______________________] gas turbines and all ancillary and </w:t>
        <w:tab/>
        <w:t>related equipment currently used in connection therewith.</w:t>
      </w:r>
    </w:p>
    <w:p>
      <w:pPr>
        <w:pStyle w:val="BodyText"/>
        <w:rPr>
          <w:u w:val="single"/>
        </w:rPr>
      </w:pPr>
      <w:r>
        <w:rPr>
          <w:u w:val="single"/>
        </w:rPr>
        <w:t>PART II - SPARE PARTS</w:t>
      </w:r>
    </w:p>
    <w:p>
      <w:pPr>
        <w:pStyle w:val="BodyText"/>
        <w:rPr/>
      </w:pPr>
      <w:r>
        <w:rPr/>
        <w:t>See Deal Bench, New Albany Deal, Section 05.09-Equipment Inventory.</w:t>
      </w:r>
    </w:p>
    <w:p>
      <w:pPr>
        <w:pStyle w:val="BodyText"/>
        <w:rPr>
          <w:u w:val="single"/>
        </w:rPr>
      </w:pPr>
      <w:r>
        <w:rPr>
          <w:u w:val="single"/>
        </w:rPr>
        <w:t>PART III - OTHER PERSONAL PROPERTY ITEMS</w:t>
      </w:r>
    </w:p>
    <w:p>
      <w:pPr>
        <w:pStyle w:val="Title1"/>
        <w:jc w:val="start"/>
        <w:rPr/>
      </w:pPr>
      <w:r>
        <w:rPr/>
        <w:t>[To Come.]</w:t>
      </w:r>
      <w:r>
        <w:br w:type="page"/>
      </w:r>
    </w:p>
    <w:p>
      <w:pPr>
        <w:pStyle w:val="Title1"/>
        <w:rPr/>
      </w:pPr>
      <w:r>
        <w:rPr/>
        <w:t>Schedule 4.1(s)</w:t>
      </w:r>
    </w:p>
    <w:p>
      <w:pPr>
        <w:pStyle w:val="Title1"/>
        <w:rPr/>
      </w:pPr>
      <w:r>
        <w:rPr/>
        <w:t>to</w:t>
      </w:r>
    </w:p>
    <w:p>
      <w:pPr>
        <w:pStyle w:val="Title1"/>
        <w:rPr/>
      </w:pPr>
      <w:r>
        <w:rPr/>
        <w:t>Purchase and Sale Agreement</w:t>
      </w:r>
    </w:p>
    <w:p>
      <w:pPr>
        <w:pStyle w:val="Title2"/>
        <w:rPr/>
      </w:pPr>
      <w:r>
        <w:rPr/>
        <w:t>REAL PROPERTY</w:t>
      </w:r>
    </w:p>
    <w:p>
      <w:pPr>
        <w:pStyle w:val="BodyText"/>
        <w:rPr>
          <w:b/>
          <w:u w:val="single"/>
        </w:rPr>
      </w:pPr>
      <w:r>
        <w:rPr>
          <w:b/>
          <w:u w:val="single"/>
        </w:rPr>
        <w:t>New Albany Power I, L.L.C.</w:t>
      </w:r>
    </w:p>
    <w:p>
      <w:pPr>
        <w:pStyle w:val="BodyText"/>
        <w:rPr>
          <w:u w:val="single"/>
        </w:rPr>
      </w:pPr>
      <w:r>
        <w:rPr>
          <w:u w:val="single"/>
        </w:rPr>
        <w:t>REAL PROPERTY</w:t>
      </w:r>
    </w:p>
    <w:p>
      <w:pPr>
        <w:pStyle w:val="Heading1"/>
        <w:numPr>
          <w:ilvl w:val="0"/>
          <w:numId w:val="8"/>
        </w:numPr>
        <w:ind w:hanging="0" w:start="0"/>
        <w:rPr/>
      </w:pPr>
      <w:r>
        <w:rPr/>
        <w:t>Approximately 67 acres in Union County, Mississippi as more particularly described in the Warranty Deed from Sandra B. Garrison to New Albany Power I, L.L.C. dated October 8, 1998.</w:t>
      </w:r>
    </w:p>
    <w:p>
      <w:pPr>
        <w:pStyle w:val="BodyText"/>
        <w:rPr>
          <w:u w:val="single"/>
        </w:rPr>
      </w:pPr>
      <w:r>
        <w:rPr>
          <w:u w:val="single"/>
        </w:rPr>
        <w:t>EASEMENTS</w:t>
      </w:r>
    </w:p>
    <w:p>
      <w:pPr>
        <w:pStyle w:val="BodyText"/>
        <w:rPr/>
      </w:pPr>
      <w:r>
        <w:rPr/>
        <w:t>None.</w:t>
      </w:r>
      <w:r>
        <w:br w:type="page"/>
      </w:r>
    </w:p>
    <w:p>
      <w:pPr>
        <w:pStyle w:val="Title1"/>
        <w:rPr/>
      </w:pPr>
      <w:r>
        <w:rPr/>
        <w:t>Schedule 4.1(t)</w:t>
      </w:r>
    </w:p>
    <w:p>
      <w:pPr>
        <w:pStyle w:val="Title1"/>
        <w:rPr/>
      </w:pPr>
      <w:r>
        <w:rPr/>
        <w:t>to</w:t>
      </w:r>
    </w:p>
    <w:p>
      <w:pPr>
        <w:pStyle w:val="Title1"/>
        <w:rPr/>
      </w:pPr>
      <w:r>
        <w:rPr/>
        <w:t>Purchase and Sale Agreement</w:t>
      </w:r>
    </w:p>
    <w:p>
      <w:pPr>
        <w:pStyle w:val="Title2"/>
        <w:rPr/>
      </w:pPr>
      <w:r>
        <w:rPr/>
        <w:t>LEASES</w:t>
      </w:r>
    </w:p>
    <w:p>
      <w:pPr>
        <w:pStyle w:val="BodyText"/>
        <w:rPr>
          <w:b/>
          <w:u w:val="single"/>
        </w:rPr>
      </w:pPr>
      <w:r>
        <w:rPr>
          <w:b/>
          <w:u w:val="single"/>
        </w:rPr>
        <w:t>New Albany Power I, L.L.C.</w:t>
      </w:r>
    </w:p>
    <w:p>
      <w:pPr>
        <w:pStyle w:val="BodyText"/>
        <w:rPr>
          <w:u w:val="single"/>
        </w:rPr>
      </w:pPr>
      <w:r>
        <w:rPr>
          <w:u w:val="single"/>
        </w:rPr>
        <w:t>LEASES OF REAL PROPERTY</w:t>
      </w:r>
    </w:p>
    <w:p>
      <w:pPr>
        <w:pStyle w:val="BodyText"/>
        <w:rPr/>
      </w:pPr>
      <w:r>
        <w:rPr>
          <w:rStyle w:val="ParaNum"/>
        </w:rPr>
        <w:t>None.</w:t>
      </w:r>
    </w:p>
    <w:p>
      <w:pPr>
        <w:pStyle w:val="BodyText"/>
        <w:rPr>
          <w:u w:val="single"/>
        </w:rPr>
      </w:pPr>
      <w:r>
        <w:rPr>
          <w:u w:val="single"/>
        </w:rPr>
        <w:t>LEASES OF PERSONAL PROPERTY</w:t>
      </w:r>
    </w:p>
    <w:p>
      <w:pPr>
        <w:pStyle w:val="BodyText"/>
        <w:rPr/>
      </w:pPr>
      <w:r>
        <w:rPr>
          <w:rStyle w:val="ParaNum"/>
        </w:rPr>
        <w:t>None.</w:t>
      </w:r>
      <w:r>
        <w:br w:type="page"/>
      </w:r>
    </w:p>
    <w:p>
      <w:pPr>
        <w:pStyle w:val="Title1"/>
        <w:rPr/>
      </w:pPr>
      <w:r>
        <w:rPr/>
        <w:t>Schedule 4.1(u)</w:t>
      </w:r>
    </w:p>
    <w:p>
      <w:pPr>
        <w:pStyle w:val="Title1"/>
        <w:rPr/>
      </w:pPr>
      <w:r>
        <w:rPr/>
        <w:t>to</w:t>
      </w:r>
    </w:p>
    <w:p>
      <w:pPr>
        <w:pStyle w:val="Title1"/>
        <w:rPr/>
      </w:pPr>
      <w:r>
        <w:rPr/>
        <w:t>Purchase and Sale Agreement</w:t>
      </w:r>
    </w:p>
    <w:p>
      <w:pPr>
        <w:pStyle w:val="Title2"/>
        <w:rPr/>
      </w:pPr>
      <w:r>
        <w:rPr/>
        <w:t>PERMITS</w:t>
      </w:r>
    </w:p>
    <w:p>
      <w:pPr>
        <w:pStyle w:val="BodyText"/>
        <w:rPr>
          <w:b/>
          <w:u w:val="single"/>
        </w:rPr>
      </w:pPr>
      <w:r>
        <w:rPr>
          <w:b/>
          <w:u w:val="single"/>
        </w:rPr>
        <w:t>New Albany Power I, L.L.C.</w:t>
      </w:r>
    </w:p>
    <w:p>
      <w:pPr>
        <w:pStyle w:val="table"/>
        <w:rPr>
          <w:b/>
          <w:u w:val="single"/>
        </w:rPr>
      </w:pPr>
      <w:r>
        <w:rPr>
          <w:b/>
          <w:u w:val="single"/>
        </w:rPr>
      </w:r>
    </w:p>
    <w:tbl>
      <w:tblPr>
        <w:tblW w:w="9468" w:type="dxa"/>
        <w:jc w:val="start"/>
        <w:tblInd w:w="0" w:type="dxa"/>
        <w:tblLayout w:type="fixed"/>
        <w:tblCellMar>
          <w:top w:w="0" w:type="dxa"/>
          <w:start w:w="108" w:type="dxa"/>
          <w:bottom w:w="0" w:type="dxa"/>
          <w:end w:w="108" w:type="dxa"/>
        </w:tblCellMar>
      </w:tblPr>
      <w:tblGrid>
        <w:gridCol w:w="1818"/>
        <w:gridCol w:w="1724"/>
        <w:gridCol w:w="1156"/>
        <w:gridCol w:w="1080"/>
        <w:gridCol w:w="3690"/>
      </w:tblGrid>
      <w:tr>
        <w:trPr/>
        <w:tc>
          <w:tcPr>
            <w:tcW w:w="1818" w:type="dxa"/>
            <w:tcBorders>
              <w:top w:val="single" w:sz="4" w:space="0" w:color="000000"/>
              <w:start w:val="single" w:sz="4" w:space="0" w:color="000000"/>
              <w:bottom w:val="single" w:sz="18" w:space="0" w:color="000000"/>
              <w:end w:val="single" w:sz="4" w:space="0" w:color="000000"/>
            </w:tcBorders>
          </w:tcPr>
          <w:p>
            <w:pPr>
              <w:pStyle w:val="Normal"/>
              <w:snapToGrid w:val="false"/>
              <w:rPr/>
            </w:pPr>
            <w:r>
              <w:rPr/>
            </w:r>
          </w:p>
          <w:p>
            <w:pPr>
              <w:pStyle w:val="Normal"/>
              <w:jc w:val="center"/>
              <w:rPr>
                <w:b/>
                <w:sz w:val="22"/>
              </w:rPr>
            </w:pPr>
            <w:r>
              <w:rPr>
                <w:b/>
                <w:sz w:val="22"/>
              </w:rPr>
              <w:t>Permit/Approval</w:t>
            </w:r>
          </w:p>
        </w:tc>
        <w:tc>
          <w:tcPr>
            <w:tcW w:w="1724" w:type="dxa"/>
            <w:tcBorders>
              <w:top w:val="single" w:sz="4" w:space="0" w:color="000000"/>
              <w:start w:val="single" w:sz="4" w:space="0" w:color="000000"/>
              <w:bottom w:val="single" w:sz="18" w:space="0" w:color="000000"/>
              <w:end w:val="single" w:sz="4" w:space="0" w:color="000000"/>
            </w:tcBorders>
          </w:tcPr>
          <w:p>
            <w:pPr>
              <w:pStyle w:val="Normal"/>
              <w:snapToGrid w:val="false"/>
              <w:rPr>
                <w:b/>
                <w:sz w:val="22"/>
              </w:rPr>
            </w:pPr>
            <w:r>
              <w:rPr>
                <w:b/>
                <w:sz w:val="22"/>
              </w:rPr>
            </w:r>
          </w:p>
          <w:p>
            <w:pPr>
              <w:pStyle w:val="Normal"/>
              <w:jc w:val="center"/>
              <w:rPr>
                <w:b/>
                <w:sz w:val="22"/>
              </w:rPr>
            </w:pPr>
            <w:r>
              <w:rPr>
                <w:b/>
                <w:sz w:val="22"/>
              </w:rPr>
              <w:t>Issuing Agency</w:t>
            </w:r>
          </w:p>
        </w:tc>
        <w:tc>
          <w:tcPr>
            <w:tcW w:w="1156" w:type="dxa"/>
            <w:tcBorders>
              <w:top w:val="single" w:sz="4" w:space="0" w:color="000000"/>
              <w:start w:val="single" w:sz="4" w:space="0" w:color="000000"/>
              <w:bottom w:val="single" w:sz="18" w:space="0" w:color="000000"/>
              <w:end w:val="single" w:sz="4" w:space="0" w:color="000000"/>
            </w:tcBorders>
          </w:tcPr>
          <w:p>
            <w:pPr>
              <w:pStyle w:val="Normal"/>
              <w:jc w:val="center"/>
              <w:rPr>
                <w:b/>
                <w:sz w:val="22"/>
              </w:rPr>
            </w:pPr>
            <w:r>
              <w:rPr>
                <w:b/>
                <w:sz w:val="22"/>
              </w:rPr>
              <w:t>Date Issued</w:t>
            </w:r>
          </w:p>
        </w:tc>
        <w:tc>
          <w:tcPr>
            <w:tcW w:w="1080" w:type="dxa"/>
            <w:tcBorders>
              <w:top w:val="single" w:sz="4" w:space="0" w:color="000000"/>
              <w:start w:val="single" w:sz="4" w:space="0" w:color="000000"/>
              <w:bottom w:val="single" w:sz="18" w:space="0" w:color="000000"/>
              <w:end w:val="single" w:sz="4" w:space="0" w:color="000000"/>
            </w:tcBorders>
          </w:tcPr>
          <w:p>
            <w:pPr>
              <w:pStyle w:val="Normal"/>
              <w:jc w:val="center"/>
              <w:rPr>
                <w:b/>
                <w:sz w:val="22"/>
              </w:rPr>
            </w:pPr>
            <w:r>
              <w:rPr>
                <w:b/>
                <w:sz w:val="22"/>
              </w:rPr>
              <w:t>Date Expires</w:t>
            </w:r>
          </w:p>
        </w:tc>
        <w:tc>
          <w:tcPr>
            <w:tcW w:w="3690" w:type="dxa"/>
            <w:tcBorders>
              <w:top w:val="single" w:sz="4" w:space="0" w:color="000000"/>
              <w:start w:val="single" w:sz="4" w:space="0" w:color="000000"/>
              <w:bottom w:val="single" w:sz="18" w:space="0" w:color="000000"/>
              <w:end w:val="single" w:sz="4" w:space="0" w:color="000000"/>
            </w:tcBorders>
          </w:tcPr>
          <w:p>
            <w:pPr>
              <w:pStyle w:val="Normal"/>
              <w:snapToGrid w:val="false"/>
              <w:rPr>
                <w:b/>
                <w:sz w:val="22"/>
              </w:rPr>
            </w:pPr>
            <w:r>
              <w:rPr>
                <w:b/>
                <w:sz w:val="22"/>
              </w:rPr>
            </w:r>
          </w:p>
          <w:p>
            <w:pPr>
              <w:pStyle w:val="Normal"/>
              <w:jc w:val="center"/>
              <w:rPr>
                <w:b/>
                <w:sz w:val="22"/>
              </w:rPr>
            </w:pPr>
            <w:r>
              <w:rPr>
                <w:b/>
                <w:sz w:val="22"/>
              </w:rPr>
              <w:t>Notes</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Part 70 Operating Permit (Title V)</w:t>
            </w:r>
          </w:p>
        </w:tc>
        <w:tc>
          <w:tcPr>
            <w:tcW w:w="1724"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Mississippi Department of Environmental Quality (MDEQ)</w:t>
            </w:r>
          </w:p>
        </w:tc>
        <w:tc>
          <w:tcPr>
            <w:tcW w:w="1156"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Not yet issued</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5 years from issuance</w:t>
            </w:r>
          </w:p>
        </w:tc>
        <w:tc>
          <w:tcPr>
            <w:tcW w:w="36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Application filed – 6/1/00. New Albany is covered by application shield.</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Spill Prevention Control and Countermeasure Plan (SPCC)</w:t>
            </w:r>
          </w:p>
        </w:tc>
        <w:tc>
          <w:tcPr>
            <w:tcW w:w="1724"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N/A</w:t>
            </w:r>
          </w:p>
        </w:tc>
        <w:tc>
          <w:tcPr>
            <w:tcW w:w="1156"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36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Required under Federal Oil Pollution Prevention regulations in 40 CFR 112. SPCC plan is expected to be completed and implemented by 11/1/00.</w:t>
            </w:r>
          </w:p>
        </w:tc>
      </w:tr>
    </w:tbl>
    <w:p>
      <w:pPr>
        <w:pStyle w:val="BodyText"/>
        <w:rPr/>
      </w:pPr>
      <w:r>
        <w:rPr/>
      </w:r>
      <w:r>
        <w:br w:type="page"/>
      </w:r>
    </w:p>
    <w:p>
      <w:pPr>
        <w:pStyle w:val="Title1"/>
        <w:rPr/>
      </w:pPr>
      <w:r>
        <w:rPr/>
        <w:t>Schedule 4.1(v)</w:t>
      </w:r>
    </w:p>
    <w:p>
      <w:pPr>
        <w:pStyle w:val="Title1"/>
        <w:rPr/>
      </w:pPr>
      <w:r>
        <w:rPr/>
        <w:t>to</w:t>
      </w:r>
    </w:p>
    <w:p>
      <w:pPr>
        <w:pStyle w:val="Title1"/>
        <w:rPr/>
      </w:pPr>
      <w:r>
        <w:rPr/>
        <w:t>Purchase and Sale Agreement</w:t>
      </w:r>
    </w:p>
    <w:p>
      <w:pPr>
        <w:pStyle w:val="Title2"/>
        <w:rPr/>
      </w:pPr>
      <w:r>
        <w:rPr/>
        <w:t>CONDITION OF EQUIPMENT</w:t>
      </w:r>
    </w:p>
    <w:p>
      <w:pPr>
        <w:pStyle w:val="BodyText"/>
        <w:rPr>
          <w:b/>
          <w:u w:val="single"/>
        </w:rPr>
      </w:pPr>
      <w:r>
        <w:rPr>
          <w:b/>
          <w:u w:val="single"/>
        </w:rPr>
        <w:t>New Albany Power I, L.L.C.</w:t>
      </w:r>
    </w:p>
    <w:p>
      <w:pPr>
        <w:pStyle w:val="BodyText"/>
        <w:rPr/>
      </w:pPr>
      <w:r>
        <w:rPr/>
        <w:t xml:space="preserve">None. </w:t>
      </w:r>
      <w:r>
        <w:rPr>
          <w:b/>
          <w:bCs/>
        </w:rPr>
        <w:t>[Mitch Robinson to confirm.]</w:t>
      </w:r>
      <w:r>
        <w:br w:type="page"/>
      </w:r>
    </w:p>
    <w:p>
      <w:pPr>
        <w:pStyle w:val="Title1"/>
        <w:rPr/>
      </w:pPr>
      <w:r>
        <w:rPr/>
        <w:t>Schedule 7.1</w:t>
      </w:r>
    </w:p>
    <w:p>
      <w:pPr>
        <w:pStyle w:val="Title1"/>
        <w:rPr/>
      </w:pPr>
      <w:r>
        <w:rPr/>
        <w:t>to</w:t>
      </w:r>
    </w:p>
    <w:p>
      <w:pPr>
        <w:pStyle w:val="Title1"/>
        <w:rPr/>
      </w:pPr>
      <w:r>
        <w:rPr/>
        <w:t>Purchase and Sale Agreement</w:t>
      </w:r>
    </w:p>
    <w:p>
      <w:pPr>
        <w:pStyle w:val="Title2"/>
        <w:rPr/>
      </w:pPr>
      <w:r>
        <w:rPr/>
        <w:t>PRECLOSING MATTERS</w:t>
      </w:r>
    </w:p>
    <w:p>
      <w:pPr>
        <w:pStyle w:val="BodyText"/>
        <w:rPr>
          <w:b/>
          <w:u w:val="single"/>
        </w:rPr>
      </w:pPr>
      <w:r>
        <w:rPr>
          <w:b/>
          <w:u w:val="single"/>
        </w:rPr>
        <w:t>New Albany Power I, L.L.C.</w:t>
      </w:r>
    </w:p>
    <w:p>
      <w:pPr>
        <w:pStyle w:val="BodyText"/>
        <w:rPr>
          <w:u w:val="single"/>
        </w:rPr>
      </w:pPr>
      <w:r>
        <w:rPr>
          <w:u w:val="single"/>
        </w:rPr>
        <w:t>PART I - CONDUCT OF BUSINESS</w:t>
      </w:r>
    </w:p>
    <w:p>
      <w:pPr>
        <w:pStyle w:val="BodyText"/>
        <w:rPr/>
      </w:pPr>
      <w:r>
        <w:rPr>
          <w:rStyle w:val="ParaNum"/>
        </w:rPr>
        <w:t>None.</w:t>
      </w:r>
    </w:p>
    <w:p>
      <w:pPr>
        <w:pStyle w:val="BodyText"/>
        <w:rPr>
          <w:rStyle w:val="ParaNum"/>
          <w:u w:val="single"/>
        </w:rPr>
      </w:pPr>
      <w:r>
        <w:rPr>
          <w:u w:val="single"/>
        </w:rPr>
        <w:t>PART II - TRANSFERRED CONTRACTS</w:t>
      </w:r>
    </w:p>
    <w:p>
      <w:pPr>
        <w:pStyle w:val="Heading1"/>
        <w:numPr>
          <w:ilvl w:val="0"/>
          <w:numId w:val="9"/>
        </w:numPr>
        <w:ind w:hanging="0" w:start="0"/>
        <w:rPr/>
      </w:pPr>
      <w:r>
        <w:rPr/>
        <w:t>Clean Air Engineering Proposal No. 30587R1 for Quarterly Linearity Checks/Cylinder Gas Audits and Yearly RATA prepared for Operational Energy Corporation for New Albany Power I, L.L.C. Facility dated July 14, 2000; Purchase Order No. _____________ dated ______________________.</w:t>
      </w:r>
    </w:p>
    <w:p>
      <w:pPr>
        <w:pStyle w:val="Heading1"/>
        <w:ind w:hanging="0" w:start="0"/>
        <w:rPr>
          <w:b/>
        </w:rPr>
      </w:pPr>
      <w:r>
        <w:rPr/>
        <w:t>General Services and Maintenance Agreement between Operational Energy Corp. and Ecolochem Inc. dated May 19, 2000.</w:t>
      </w:r>
    </w:p>
    <w:p>
      <w:pPr>
        <w:pStyle w:val="Heading1"/>
        <w:ind w:hanging="0" w:start="0"/>
        <w:rPr/>
      </w:pPr>
      <w:r>
        <w:rPr/>
        <w:t xml:space="preserve">Service Agreement between Aramark Uniform Services and New Albany Power I, L.L.C. (c/o Operational Energy Corp.) dated July 20, 2000.  </w:t>
      </w:r>
    </w:p>
    <w:p>
      <w:pPr>
        <w:pStyle w:val="BodyText"/>
        <w:ind w:hanging="720" w:start="720" w:end="0"/>
        <w:rPr/>
      </w:pPr>
      <w:r>
        <w:rPr/>
        <w:t>4.</w:t>
        <w:tab/>
        <w:t xml:space="preserve">Sales and Software Licensing Agreement between CK Systems, Inc. and Operational Energy Corp. (identified as _____________________) dated ____________, 2000.  </w:t>
      </w:r>
      <w:r>
        <w:rPr>
          <w:b/>
          <w:bCs/>
        </w:rPr>
        <w:t>[Ross Newlin to confirm.]</w:t>
      </w:r>
      <w:r>
        <w:br w:type="page"/>
      </w:r>
    </w:p>
    <w:p>
      <w:pPr>
        <w:pStyle w:val="Title"/>
        <w:rPr/>
      </w:pPr>
      <w:r>
        <w:rPr/>
        <w:t>Schedule 7.11</w:t>
      </w:r>
    </w:p>
    <w:p>
      <w:pPr>
        <w:pStyle w:val="Title1"/>
        <w:rPr/>
      </w:pPr>
      <w:r>
        <w:rPr/>
        <w:t>to</w:t>
      </w:r>
    </w:p>
    <w:p>
      <w:pPr>
        <w:pStyle w:val="Title1"/>
        <w:rPr/>
      </w:pPr>
      <w:r>
        <w:rPr/>
        <w:t>Purchase and Sale Agreement</w:t>
      </w:r>
    </w:p>
    <w:p>
      <w:pPr>
        <w:pStyle w:val="Title2"/>
        <w:rPr/>
      </w:pPr>
      <w:r>
        <w:rPr/>
        <w:t>CASUALTY LOSS AMOUNT</w:t>
      </w:r>
    </w:p>
    <w:p>
      <w:pPr>
        <w:pStyle w:val="BodyText"/>
        <w:rPr>
          <w:b/>
          <w:u w:val="single"/>
        </w:rPr>
      </w:pPr>
      <w:r>
        <w:rPr>
          <w:b/>
          <w:u w:val="single"/>
        </w:rPr>
        <w:t>New Albany Power I, L.L.C.</w:t>
      </w:r>
    </w:p>
    <w:p>
      <w:pPr>
        <w:pStyle w:val="BodyText"/>
        <w:jc w:val="center"/>
        <w:rPr/>
      </w:pPr>
      <w:r>
        <w:rPr/>
        <w:t>[To Come - to be provided by Enron after negotiation]</w:t>
      </w:r>
    </w:p>
    <w:p>
      <w:pPr>
        <w:pStyle w:val="Title"/>
        <w:rPr/>
      </w:pPr>
      <w:r>
        <w:rPr/>
      </w:r>
      <w:r>
        <w:br w:type="page"/>
      </w:r>
    </w:p>
    <w:p>
      <w:pPr>
        <w:pStyle w:val="Title1"/>
        <w:rPr/>
      </w:pPr>
      <w:r>
        <w:rPr/>
        <w:t>Schedule 7.12</w:t>
      </w:r>
    </w:p>
    <w:p>
      <w:pPr>
        <w:pStyle w:val="Title1"/>
        <w:rPr/>
      </w:pPr>
      <w:r>
        <w:rPr/>
        <w:t>to</w:t>
      </w:r>
    </w:p>
    <w:p>
      <w:pPr>
        <w:pStyle w:val="Title1"/>
        <w:rPr/>
      </w:pPr>
      <w:r>
        <w:rPr/>
        <w:t>Purchase and Sale Agreement</w:t>
      </w:r>
    </w:p>
    <w:p>
      <w:pPr>
        <w:pStyle w:val="Title2"/>
        <w:rPr/>
      </w:pPr>
      <w:r>
        <w:rPr/>
        <w:t>EXCLUDED ASSETS</w:t>
      </w:r>
    </w:p>
    <w:p>
      <w:pPr>
        <w:pStyle w:val="BodyText"/>
        <w:rPr>
          <w:b/>
          <w:u w:val="single"/>
        </w:rPr>
      </w:pPr>
      <w:r>
        <w:rPr>
          <w:b/>
          <w:u w:val="single"/>
        </w:rPr>
        <w:t>New Albany Power I, L.L.C.</w:t>
      </w:r>
    </w:p>
    <w:p>
      <w:pPr>
        <w:pStyle w:val="Heading1"/>
        <w:numPr>
          <w:ilvl w:val="0"/>
          <w:numId w:val="10"/>
        </w:numPr>
        <w:ind w:hanging="0" w:start="0"/>
        <w:rPr/>
      </w:pPr>
      <w:r>
        <w:rPr/>
        <w:t xml:space="preserve">The following software is licensed by an Affiliate of Seller:  </w:t>
      </w:r>
    </w:p>
    <w:p>
      <w:pPr>
        <w:pStyle w:val="BodyText"/>
        <w:spacing w:before="0" w:after="0"/>
        <w:ind w:start="720" w:end="0"/>
        <w:rPr/>
      </w:pPr>
      <w:r>
        <w:rPr/>
        <w:t>(a)</w:t>
        <w:tab/>
        <w:t>Oil Systems International PI - Process Book and Data Link Software; and</w:t>
      </w:r>
    </w:p>
    <w:p>
      <w:pPr>
        <w:pStyle w:val="BodyText"/>
        <w:spacing w:before="0" w:after="0"/>
        <w:ind w:start="720" w:end="0"/>
        <w:rPr/>
      </w:pPr>
      <w:r>
        <w:rPr/>
        <w:t>(b)</w:t>
        <w:tab/>
        <w:t>Alstom ESCA Scada Management Platform Software.</w:t>
      </w:r>
    </w:p>
    <w:p>
      <w:pPr>
        <w:pStyle w:val="BodyText"/>
        <w:spacing w:before="0" w:after="0"/>
        <w:ind w:start="720" w:end="0"/>
        <w:rPr/>
      </w:pPr>
      <w:r>
        <w:rPr/>
      </w:r>
    </w:p>
    <w:p>
      <w:pPr>
        <w:pStyle w:val="BodyText"/>
        <w:ind w:hanging="720" w:start="720" w:end="0"/>
        <w:rPr/>
      </w:pPr>
      <w:r>
        <w:rPr/>
        <w:tab/>
        <w:t xml:space="preserve">[NOTE:  This software is licensed to Enron SE Corp.  If the Buyer desires to continue to use this software, the Buyer will be required to negotiate and obtain a separate license with the vendors of such software.  This software will be excluded from the Seller’s representation in </w:t>
      </w:r>
      <w:r>
        <w:rPr>
          <w:u w:val="single"/>
        </w:rPr>
        <w:t>Section 4.1(z)</w:t>
      </w:r>
      <w:r>
        <w:rPr/>
        <w:t>.]</w:t>
      </w:r>
    </w:p>
    <w:p>
      <w:pPr>
        <w:pStyle w:val="BodyText"/>
        <w:ind w:hanging="720" w:start="720" w:end="0"/>
        <w:rPr/>
      </w:pPr>
      <w:r>
        <w:rPr/>
        <w:t>2.</w:t>
        <w:tab/>
        <w:t>The leased vehicles and other equipment described in Section 5.12, New Albany Deal, on DealBench (www.dealbench.com).  [NOTE:  If Buyer desires to use these leased vehicles and other equipment after the Closing Date, Seller will use reasonable efforts to transfer its rights in such leased vehicles and equipment to Buyer or New Albany Power I, L.L.C. on or before the Closing Date.]</w:t>
      </w:r>
    </w:p>
    <w:p>
      <w:pPr>
        <w:pStyle w:val="BodyText"/>
        <w:rPr/>
      </w:pPr>
      <w:r>
        <w:rPr/>
      </w:r>
      <w:r>
        <w:br w:type="page"/>
      </w:r>
    </w:p>
    <w:p>
      <w:pPr>
        <w:pStyle w:val="Title1"/>
        <w:rPr/>
      </w:pPr>
      <w:r>
        <w:rPr/>
        <w:t>Schedule 7.13</w:t>
      </w:r>
    </w:p>
    <w:p>
      <w:pPr>
        <w:pStyle w:val="Title1"/>
        <w:rPr/>
      </w:pPr>
      <w:r>
        <w:rPr/>
        <w:t>to</w:t>
      </w:r>
    </w:p>
    <w:p>
      <w:pPr>
        <w:pStyle w:val="Title1"/>
        <w:rPr/>
      </w:pPr>
      <w:r>
        <w:rPr/>
        <w:t>Purchase and Sale Agreement</w:t>
      </w:r>
    </w:p>
    <w:p>
      <w:pPr>
        <w:pStyle w:val="Title2"/>
        <w:rPr/>
      </w:pPr>
      <w:r>
        <w:rPr/>
        <w:t>GUARANTEES</w:t>
      </w:r>
    </w:p>
    <w:p>
      <w:pPr>
        <w:pStyle w:val="BodyText"/>
        <w:rPr>
          <w:b/>
          <w:u w:val="single"/>
        </w:rPr>
      </w:pPr>
      <w:r>
        <w:rPr>
          <w:b/>
          <w:u w:val="single"/>
        </w:rPr>
        <w:t>New Albany Power I, L.L.C.</w:t>
      </w:r>
    </w:p>
    <w:p>
      <w:pPr>
        <w:pStyle w:val="Heading1"/>
        <w:numPr>
          <w:ilvl w:val="0"/>
          <w:numId w:val="11"/>
        </w:numPr>
        <w:spacing w:before="0" w:after="240"/>
        <w:ind w:hanging="0" w:start="0"/>
        <w:rPr/>
      </w:pPr>
      <w:r>
        <w:rPr/>
        <w:t>Enron Corp. Guaranty in favor of Tennessee Valley Authority for Interconnection Agreement with New Albania Power I, L.L.C. [sic] dated February 22, 1999.</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9">
              <wp:simplePos x="0" y="0"/>
              <wp:positionH relativeFrom="page">
                <wp:posOffset>915035</wp:posOffset>
              </wp:positionH>
              <wp:positionV relativeFrom="page">
                <wp:align>bottom</wp:align>
              </wp:positionV>
              <wp:extent cx="668020"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HOU:583354.3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2" w:name="bkFooterDoc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HOU:583354.3 </w:t>
                    </w:r>
                    <w:r>
                      <w:rPr>
                        <w:rStyle w:val="DocID"/>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rPr>
        <w:sz w:val="24"/>
        <w:i w:val="false"/>
        <w:b w:val="false"/>
      </w:rPr>
    </w:lvl>
    <w:lvl w:ilvl="1">
      <w:start w:val="1"/>
      <w:pStyle w:val="Heading2"/>
      <w:numFmt w:val="lowerRoman"/>
      <w:lvlText w:val="(%2)"/>
      <w:lvlJc w:val="start"/>
      <w:pPr>
        <w:tabs>
          <w:tab w:val="num" w:pos="144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 w:name="SWNumberDesign" w:val="SoftWis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outlineLvl w:val="0"/>
    </w:pPr>
    <w:rPr/>
  </w:style>
  <w:style w:type="paragraph" w:styleId="Heading2">
    <w:name w:val="heading 2"/>
    <w:basedOn w:val="Heading"/>
    <w:next w:val="BodyText"/>
    <w:qFormat/>
    <w:pPr>
      <w:numPr>
        <w:ilvl w:val="1"/>
        <w:numId w:val="1"/>
      </w:numPr>
      <w:outlineLvl w:val="1"/>
    </w:pPr>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b w:val="false"/>
      <w:i w:val="false"/>
      <w:sz w:val="24"/>
      <w:u w:val="none"/>
    </w:rPr>
  </w:style>
  <w:style w:type="character" w:styleId="WW8Num13z0">
    <w:name w:val="WW8Num13z0"/>
    <w:qFormat/>
    <w:rPr>
      <w:u w:val="none"/>
    </w:rPr>
  </w:style>
  <w:style w:type="character" w:styleId="WW8Num14z0">
    <w:name w:val="WW8Num14z0"/>
    <w:qFormat/>
    <w:rPr>
      <w:rFonts w:ascii="Symbol" w:hAnsi="Symbol" w:cs="Symbol"/>
    </w:rPr>
  </w:style>
  <w:style w:type="character" w:styleId="WW8Num15z0">
    <w:name w:val="WW8Num15z0"/>
    <w:qFormat/>
    <w:rPr>
      <w:b w:val="false"/>
      <w:i w:val="false"/>
      <w:sz w:val="24"/>
      <w:u w:val="none"/>
    </w:rPr>
  </w:style>
  <w:style w:type="character" w:styleId="WW8Num17z0">
    <w:name w:val="WW8Num17z0"/>
    <w:qFormat/>
    <w:rPr>
      <w:rFonts w:ascii="Symbol" w:hAnsi="Symbol" w:cs="Symbol"/>
    </w:rPr>
  </w:style>
  <w:style w:type="character" w:styleId="WW8Num18z0">
    <w:name w:val="WW8Num18z0"/>
    <w:qFormat/>
    <w:rPr>
      <w:b w:val="false"/>
      <w:i w:val="false"/>
      <w:sz w:val="24"/>
    </w:rPr>
  </w:style>
  <w:style w:type="character" w:styleId="WW8Num18z1">
    <w:name w:val="WW8Num18z1"/>
    <w:qFormat/>
    <w:rPr/>
  </w:style>
  <w:style w:type="character" w:styleId="WW8Num18z8">
    <w:name w:val="WW8Num18z8"/>
    <w:qFormat/>
    <w:rPr>
      <w:rFonts w:ascii="Symbol" w:hAnsi="Symbol" w:cs="Symbol"/>
      <w:color w:val="auto"/>
      <w:sz w:val="28"/>
    </w:rPr>
  </w:style>
  <w:style w:type="character" w:styleId="WW8Num19z0">
    <w:name w:val="WW8Num19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b w:val="false"/>
      <w:i w:val="false"/>
      <w:sz w:val="24"/>
      <w:u w:val="none"/>
    </w:rPr>
  </w:style>
  <w:style w:type="character" w:styleId="WW8Num24z0">
    <w:name w:val="WW8Num24z0"/>
    <w:qFormat/>
    <w:rPr>
      <w:rFonts w:ascii="Symbol" w:hAnsi="Symbol" w:cs="Symbol"/>
      <w:color w:val="auto"/>
      <w:sz w:val="28"/>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character" w:styleId="DocID">
    <w:name w:val="DocID"/>
    <w:basedOn w:val="DefaultParagraphFont"/>
    <w:qFormat/>
    <w:rPr>
      <w:sz w:val="12"/>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jc w:val="center"/>
    </w:pPr>
    <w:rPr>
      <w:b/>
    </w:rPr>
  </w:style>
  <w:style w:type="paragraph" w:styleId="BodyTextFirstIndent">
    <w:name w:val="Body Text First Indent"/>
    <w:basedOn w:val="Normal"/>
    <w:qFormat/>
    <w:pPr>
      <w:spacing w:before="0" w:after="240"/>
      <w:ind w:firstLine="1440" w:start="0" w:end="0"/>
      <w:jc w:val="both"/>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Number2">
    <w:name w:val="List Number 2"/>
    <w:basedOn w:val="Normal"/>
    <w:qFormat/>
    <w:pPr>
      <w:numPr>
        <w:ilvl w:val="0"/>
        <w:numId w:val="2"/>
      </w:numPr>
    </w:pPr>
    <w:rPr/>
  </w:style>
  <w:style w:type="paragraph" w:styleId="Closing">
    <w:name w:val="Closing"/>
    <w:basedOn w:val="Normal"/>
    <w:qFormat/>
    <w:pPr>
      <w:ind w:hanging="0" w:start="4320" w:end="0"/>
    </w:pPr>
    <w:rPr/>
  </w:style>
  <w:style w:type="paragraph" w:styleId="table">
    <w:name w:val="table"/>
    <w:basedOn w:val="Normal"/>
    <w:qFormat/>
    <w:pPr/>
    <w:rPr/>
  </w:style>
  <w:style w:type="paragraph" w:styleId="bodytext1">
    <w:name w:val="bodyt ext"/>
    <w:basedOn w:val="Normal"/>
    <w:qFormat/>
    <w:pPr/>
    <w:rPr>
      <w:b/>
      <w:u w:val="single"/>
    </w:rPr>
  </w:style>
  <w:style w:type="paragraph" w:styleId="Title1">
    <w:name w:val="Title 1"/>
    <w:basedOn w:val="Title"/>
    <w:qFormat/>
    <w:pPr/>
    <w:rPr/>
  </w:style>
  <w:style w:type="paragraph" w:styleId="Title2">
    <w:name w:val="Title 2"/>
    <w:basedOn w:val="Title"/>
    <w:qFormat/>
    <w:pPr>
      <w:spacing w:before="240" w:after="240"/>
    </w:pPr>
    <w:rPr/>
  </w:style>
  <w:style w:type="paragraph" w:styleId="Title3">
    <w:name w:val="Title 3"/>
    <w:basedOn w:val="Title"/>
    <w:qFormat/>
    <w:pPr>
      <w:spacing w:before="0" w:after="720"/>
    </w:pPr>
    <w:rPr>
      <w:u w:val="single"/>
    </w:rPr>
  </w:style>
  <w:style w:type="paragraph" w:styleId="obdytext">
    <w:name w:val="obdy text"/>
    <w:basedOn w:val="bodytext1"/>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2001-04-03T19:28:00Z</dcterms:created>
  <dc:creator>A&amp;K</dc:creator>
  <dc:description/>
  <dc:language>en-CA</dc:language>
  <cp:lastModifiedBy>A&amp;K</cp:lastModifiedBy>
  <cp:lastPrinted>2000-10-15T08:43:00Z</cp:lastPrinted>
  <dcterms:modified xsi:type="dcterms:W3CDTF">2001-04-03T19:29:00Z</dcterms:modified>
  <cp:revision>3</cp:revision>
  <dc:subject/>
  <dc:title>Schedule 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HOU:583354.3 </vt:lpwstr>
  </property>
</Properties>
</file>