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PRICE POSTING AGREEMENT</w:t>
      </w:r>
    </w:p>
    <w:p>
      <w:pPr>
        <w:pStyle w:val="Normal"/>
        <w:jc w:val="both"/>
        <w:rPr>
          <w:b/>
          <w:sz w:val="24"/>
        </w:rPr>
      </w:pPr>
      <w:r>
        <w:rPr>
          <w:b/>
          <w:sz w:val="24"/>
        </w:rPr>
      </w:r>
    </w:p>
    <w:p>
      <w:pPr>
        <w:pStyle w:val="Normal"/>
        <w:jc w:val="both"/>
        <w:rPr>
          <w:b/>
        </w:rPr>
      </w:pPr>
      <w:r>
        <w:rPr>
          <w:b/>
        </w:rPr>
      </w:r>
    </w:p>
    <w:p>
      <w:pPr>
        <w:pStyle w:val="BodyText"/>
        <w:ind w:firstLine="720" w:end="0"/>
        <w:jc w:val="both"/>
        <w:rPr/>
      </w:pPr>
      <w:r>
        <w:rPr/>
        <w:t xml:space="preserve">THIS PRICE POSTING AGREEMENT dated as of _______, 2000 (this </w:t>
      </w:r>
      <w:r>
        <w:rPr>
          <w:i/>
        </w:rPr>
        <w:t>“Agreement”</w:t>
      </w:r>
      <w:r>
        <w:rPr/>
        <w:t xml:space="preserve">) is by and between Enron Net Works LLC, a Delaware limited liability company ("Enron"), which has its principal place of business at 1400 Smith Street, Houston, Texas 77002, and _______________, a _____________ (the </w:t>
      </w:r>
      <w:r>
        <w:rPr>
          <w:i/>
        </w:rPr>
        <w:t>“Sponsor”</w:t>
      </w:r>
      <w:r>
        <w:rPr/>
        <w:t xml:space="preserve">), which has its principal place of business at __________________.  </w:t>
      </w:r>
    </w:p>
    <w:p>
      <w:pPr>
        <w:pStyle w:val="BodyText"/>
        <w:ind w:firstLine="720" w:end="0"/>
        <w:jc w:val="both"/>
        <w:rPr/>
      </w:pPr>
      <w:r>
        <w:rPr/>
        <w:t xml:space="preserve">WHEREAS, Sponsor owns and operates _________________ (the </w:t>
      </w:r>
      <w:r>
        <w:rPr>
          <w:i/>
        </w:rPr>
        <w:t>“Sponsor Platform”</w:t>
      </w:r>
      <w:r>
        <w:rPr/>
        <w:t xml:space="preserve">), an electronic trading facility for the over-the-counter trading of commodities and derivative products; and </w:t>
      </w:r>
    </w:p>
    <w:p>
      <w:pPr>
        <w:pStyle w:val="BodyText"/>
        <w:ind w:firstLine="720" w:end="0"/>
        <w:jc w:val="both"/>
        <w:rPr/>
      </w:pPr>
      <w:r>
        <w:rPr/>
        <w:t>WHEREAS, Sponsor has requested that Enron make available to persons seeking to transact on the Sponsor Platform (i) an opportunity to view Enron’s prices for certain commodities and derivative products, and (ii) an opportunity to enter into transactions with Enron at such prices; and</w:t>
      </w:r>
    </w:p>
    <w:p>
      <w:pPr>
        <w:pStyle w:val="BodyText"/>
        <w:ind w:firstLine="720" w:end="0"/>
        <w:jc w:val="both"/>
        <w:rPr/>
      </w:pPr>
      <w:r>
        <w:rPr/>
        <w:t>WHEREAS, Enron has agreed to make prices for certain commodities and derivative products available to persons seeking to transact on the Sponsor Platform, and has agreed to permit such persons to attempt to transact with Enron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u w:val="single"/>
        </w:rPr>
        <w:t>Definitions</w:t>
      </w:r>
      <w:r>
        <w:rPr>
          <w:b/>
        </w:rPr>
        <w:t xml:space="preserve">.  </w:t>
      </w:r>
      <w:r>
        <w:rPr/>
        <w:t>The following terms shall have the meanings ascribed thereto:</w:t>
      </w:r>
    </w:p>
    <w:p>
      <w:pPr>
        <w:pStyle w:val="BodyText"/>
        <w:ind w:firstLine="720" w:end="0"/>
        <w:jc w:val="both"/>
        <w:rPr/>
      </w:pPr>
      <w:r>
        <w:rPr>
          <w:i/>
        </w:rPr>
        <w:t>“</w:t>
      </w:r>
      <w:r>
        <w:rPr>
          <w:i/>
        </w:rPr>
        <w:t>Access Agreement”</w:t>
      </w:r>
      <w:r>
        <w:rPr/>
        <w:t xml:space="preserve"> means all agreements between Participants and Sponsor governing access to, participation on, and entering into transactions on the Sponsor Platform.  </w:t>
      </w:r>
      <w:r>
        <w:rPr>
          <w:i/>
          <w:iCs/>
        </w:rPr>
        <w:t>[Note:  Enron will not enter into Sponsor’s standard Access Agreement, as this Agreement should govern Enron’s access to and transacting with the Sponsor Platform in order to avoid problems of contract interpretation that may arise if any terms or provisions of the Access Agreement conflict with or are inconsistent with this Agreement.  This Agreement will incorporate selected  terms and provisions of the Access Agreement to maintain parity with other users of the Sponsor Platform].</w:t>
      </w:r>
    </w:p>
    <w:p>
      <w:pPr>
        <w:pStyle w:val="BodyText"/>
        <w:ind w:firstLine="720" w:end="0"/>
        <w:jc w:val="both"/>
        <w:rPr/>
      </w:pPr>
      <w:r>
        <w:rPr>
          <w:i/>
          <w:iCs/>
        </w:rPr>
        <w:t xml:space="preserve">"Affiliate" </w:t>
      </w:r>
      <w:r>
        <w:rPr/>
        <w:t>as applied to any Person means any other Person directly or indirectly controlling, controlled by, or under direct or indirect common control with, such specified Person.  The term "control"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by contract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iCs/>
        </w:rPr>
        <w:t>"Bankruptcy Event"</w:t>
      </w:r>
      <w:r>
        <w:rPr/>
        <w:t xml:space="preserve"> means, with respect to a party, such party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party a reorganization, arrangement, composition, readjustment, liquidation, dissolution, or similar relief under any law; (v) files an answer or other pleading admitting or failing to contest the material allegations of a petition filed against such party in a proceeding of the type described in subclauses (i) through (iv) of this clause (a); or (vi) seeks, consents to, or acquiesces in the appointment of a trustee, receiver, or liquidator of such party or of all or any substantial part of such party's assets; or (b) against such party, a proceeding seeking reorganization, arrangement, composition, readjustment, liquidation, dissolution, or similar relief under any law has been commenced and 120 days have expired without dismissal thereof or with respect to which, without such party's consent or acquiescence, a trustee, receiver, or liquidator of such party or of all or any substantial part of such party's assets has been appointed and 90 days have expired without the appointment's having been vacated or stayed, or 90 days have expired after the date of expiration of a stay, if the appointment has not previously been vacated.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iCs/>
        </w:rPr>
      </w:pPr>
      <w:r>
        <w:rPr>
          <w:i/>
          <w:iCs/>
        </w:rPr>
      </w:r>
    </w:p>
    <w:p>
      <w:pPr>
        <w:pStyle w:val="BodyText"/>
        <w:spacing w:before="0" w:after="0"/>
        <w:ind w:firstLine="720" w:end="0"/>
        <w:jc w:val="both"/>
        <w:rPr/>
      </w:pPr>
      <w:r>
        <w:rPr>
          <w:i/>
          <w:iCs/>
        </w:rPr>
        <w:t>"Change of Control"</w:t>
      </w:r>
      <w:r>
        <w:rPr/>
        <w:t xml:space="preserve"> means any transaction or event in which any Person other than [insert Sponsor's current control block] (i) shall acquire or possess beneficial ownership (as defined in Rule 13d-5 of the Securities Exchange Act of 1934, as amended) of at least [50]% of the outstanding voting securities of such Person, (ii) shall acquire or possess the right or power to appoint a majority of the members of the Board of Directors of such Person, (iii) the sale of all or substantially all of the assets of the Sponsor, or any sale of the Sponsor Platform; or the execution by a Person of any agreement to do any of the foregoing. </w:t>
      </w:r>
      <w:r>
        <w:rPr>
          <w:i/>
          <w:iCs/>
        </w:rPr>
        <w:t xml:space="preserve">[this provision will be coordinated with the terms and conditions of the Investment Agreements]. </w:t>
      </w:r>
      <w:r>
        <w:rPr/>
        <w:t xml:space="preserve"> </w:t>
      </w:r>
    </w:p>
    <w:p>
      <w:pPr>
        <w:pStyle w:val="BodyText"/>
        <w:spacing w:before="0" w:after="0"/>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iCs/>
        </w:rPr>
        <w:t xml:space="preserve">"Claim" </w:t>
      </w:r>
      <w:r>
        <w:rPr/>
        <w:t>means</w:t>
      </w:r>
      <w:r>
        <w:rPr>
          <w:b/>
          <w:bCs/>
          <w:i/>
          <w:iCs/>
        </w:rPr>
        <w:t xml:space="preserve"> </w:t>
      </w:r>
      <w:r>
        <w:rPr/>
        <w:t>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w:t>
      </w:r>
      <w:r>
        <w:rPr>
          <w:i/>
        </w:rPr>
        <w:t>Competing Platform”</w:t>
      </w:r>
      <w:r>
        <w:rPr/>
        <w:t xml:space="preserve"> means a multilateral, fee-for-transaction electronic trading platform for products that include Specified Products, other than a platform owned and/or operated by Enron, Sponsor, or their respective Affiliates.</w:t>
      </w:r>
    </w:p>
    <w:p>
      <w:pPr>
        <w:pStyle w:val="BodyText"/>
        <w:spacing w:before="0" w:after="0"/>
        <w:ind w:firstLine="720" w:end="0"/>
        <w:jc w:val="both"/>
        <w:rPr/>
      </w:pPr>
      <w:r>
        <w:rPr/>
      </w:r>
    </w:p>
    <w:p>
      <w:pPr>
        <w:pStyle w:val="BodyText"/>
        <w:ind w:firstLine="720" w:end="0"/>
        <w:jc w:val="both"/>
        <w:rPr/>
      </w:pPr>
      <w:r>
        <w:rPr>
          <w:i/>
        </w:rPr>
        <w:t>“</w:t>
      </w:r>
      <w:r>
        <w:rPr>
          <w:i/>
        </w:rPr>
        <w:t>Counterparty Interface”</w:t>
      </w:r>
      <w:r>
        <w:rPr/>
        <w:t xml:space="preserve"> means the Interface described in </w:t>
      </w:r>
      <w:r>
        <w:rPr>
          <w:u w:val="single"/>
        </w:rPr>
        <w:t>Exhibit E.</w:t>
      </w:r>
      <w:r>
        <w:rPr/>
        <w:t xml:space="preserve"> </w:t>
      </w:r>
    </w:p>
    <w:p>
      <w:pPr>
        <w:pStyle w:val="BodyText"/>
        <w:ind w:firstLine="720" w:end="0"/>
        <w:jc w:val="both"/>
        <w:rPr/>
      </w:pPr>
      <w:r>
        <w:rPr>
          <w:i/>
        </w:rPr>
        <w:t>“</w:t>
      </w:r>
      <w:r>
        <w:rPr>
          <w:i/>
        </w:rPr>
        <w:t>Enron Contract Terms”</w:t>
      </w:r>
      <w:r>
        <w:rPr/>
        <w:t xml:space="preserve"> means all terms, conditions, policies, contracts, and agreements  governing access to and transactions attempted with or executed through the Enron Platform.</w:t>
      </w:r>
    </w:p>
    <w:p>
      <w:pPr>
        <w:pStyle w:val="BodyText"/>
        <w:ind w:firstLine="720" w:end="0"/>
        <w:jc w:val="both"/>
        <w:rPr/>
      </w:pPr>
      <w:r>
        <w:rPr>
          <w:i/>
        </w:rPr>
        <w:t>“</w:t>
      </w:r>
      <w:r>
        <w:rPr>
          <w:i/>
        </w:rPr>
        <w:t>Enron Platform”</w:t>
      </w:r>
      <w:r>
        <w:rPr/>
        <w:t xml:space="preserve"> means any platform owned and operated by Enron [which is currently operated through the website located at </w:t>
      </w:r>
      <w:hyperlink r:id="rId2">
        <w:r>
          <w:rPr>
            <w:rStyle w:val="Hyperlink"/>
          </w:rPr>
          <w:t>www.enrononline.com</w:t>
        </w:r>
      </w:hyperlink>
      <w:r>
        <w:rPr/>
        <w:t>] and which is used by Enron for the purpose of allowing third parties, including the  Participants, to offer to enter into transactions with Enron for Specified Products.</w:t>
      </w:r>
    </w:p>
    <w:p>
      <w:pPr>
        <w:pStyle w:val="BodyText"/>
        <w:ind w:firstLine="720" w:end="0"/>
        <w:jc w:val="both"/>
        <w:rPr>
          <w:i/>
          <w:i/>
          <w:iCs/>
        </w:rPr>
      </w:pPr>
      <w:r>
        <w:rPr>
          <w:i/>
        </w:rPr>
        <w:t xml:space="preserve"> “</w:t>
      </w:r>
      <w:r>
        <w:rPr>
          <w:i/>
        </w:rPr>
        <w:t>Enron Price Interface”</w:t>
      </w:r>
      <w:r>
        <w:rPr/>
        <w:t xml:space="preserve"> means the Interface described in </w:t>
      </w:r>
      <w:r>
        <w:rPr>
          <w:u w:val="single"/>
        </w:rPr>
        <w:t>Exhibit A</w:t>
      </w:r>
      <w:r>
        <w:rPr/>
        <w:t xml:space="preserve">.  </w:t>
      </w:r>
    </w:p>
    <w:p>
      <w:pPr>
        <w:pStyle w:val="BodyText"/>
        <w:ind w:firstLine="720" w:end="0"/>
        <w:jc w:val="both"/>
        <w:rPr/>
      </w:pPr>
      <w:r>
        <w:rPr>
          <w:i/>
        </w:rPr>
        <w:t xml:space="preserve"> “</w:t>
      </w:r>
      <w:r>
        <w:rPr>
          <w:i/>
        </w:rPr>
        <w:t>Enron Transaction Interface”</w:t>
      </w:r>
      <w:r>
        <w:rPr/>
        <w:t xml:space="preserve"> means the Interface described in </w:t>
      </w:r>
      <w:r>
        <w:rPr>
          <w:u w:val="single"/>
        </w:rPr>
        <w:t>Exhibit B</w:t>
      </w:r>
      <w:r>
        <w:rPr/>
        <w:t>.</w:t>
      </w:r>
    </w:p>
    <w:p>
      <w:pPr>
        <w:pStyle w:val="BodyText"/>
        <w:ind w:firstLine="720" w:end="0"/>
        <w:jc w:val="both"/>
        <w:rPr/>
      </w:pPr>
      <w:r>
        <w:rPr>
          <w:i/>
          <w:iCs/>
        </w:rPr>
        <w:t>“</w:t>
      </w:r>
      <w:r>
        <w:rPr>
          <w:i/>
          <w:iCs/>
        </w:rPr>
        <w:t xml:space="preserve">Executed Transaction” </w:t>
      </w:r>
      <w:r>
        <w:rPr/>
        <w:t xml:space="preserve">means a Proposed Transaction that is executed with Enron pursuant to </w:t>
      </w:r>
      <w:r>
        <w:rPr>
          <w:u w:val="single"/>
        </w:rPr>
        <w:t>Section 5</w:t>
      </w:r>
      <w:r>
        <w:rPr/>
        <w:t xml:space="preserve"> and becomes a binding contractual obligation of Enron and the Participant in accordance with the Enron Contract Terms; an Executed Transaction may only exist pursuant to </w:t>
      </w:r>
      <w:r>
        <w:rPr>
          <w:u w:val="single"/>
        </w:rPr>
        <w:t>Section 5</w:t>
      </w:r>
      <w:r>
        <w:rPr/>
        <w:t xml:space="preserve">. </w:t>
      </w:r>
    </w:p>
    <w:p>
      <w:pPr>
        <w:pStyle w:val="BodyText"/>
        <w:ind w:firstLine="720" w:end="0"/>
        <w:jc w:val="both"/>
        <w:rPr/>
      </w:pPr>
      <w:r>
        <w:rPr>
          <w:i/>
          <w:iCs/>
        </w:rPr>
        <w:t>"ID Interface"</w:t>
      </w:r>
      <w:r>
        <w:rPr/>
        <w:t xml:space="preserve"> means the Interface described in </w:t>
      </w:r>
      <w:r>
        <w:rPr>
          <w:u w:val="single"/>
        </w:rPr>
        <w:t>Exhibit F</w:t>
      </w:r>
      <w:r>
        <w:rPr/>
        <w:t>.</w:t>
      </w:r>
    </w:p>
    <w:p>
      <w:pPr>
        <w:pStyle w:val="BodyText"/>
        <w:ind w:firstLine="720" w:end="0"/>
        <w:jc w:val="both"/>
        <w:rPr/>
      </w:pPr>
      <w:r>
        <w:rPr>
          <w:i/>
        </w:rPr>
        <w:t>“</w:t>
      </w:r>
      <w:r>
        <w:rPr>
          <w:i/>
        </w:rPr>
        <w:t xml:space="preserve">Interfaces” </w:t>
      </w:r>
      <w:r>
        <w:rPr/>
        <w:t xml:space="preserve">means, collectively, the Interfaces described in </w:t>
      </w:r>
      <w:r>
        <w:rPr>
          <w:u w:val="single"/>
        </w:rPr>
        <w:t>Exhibits A</w:t>
      </w:r>
      <w:r>
        <w:rPr/>
        <w:t xml:space="preserve"> through </w:t>
      </w:r>
      <w:r>
        <w:rPr>
          <w:u w:val="single"/>
        </w:rPr>
        <w:t>G</w:t>
      </w:r>
      <w:r>
        <w:rPr/>
        <w:t xml:space="preserve">.   </w:t>
      </w:r>
    </w:p>
    <w:p>
      <w:pPr>
        <w:pStyle w:val="BodyText"/>
        <w:ind w:firstLine="720" w:end="0"/>
        <w:jc w:val="both"/>
        <w:rPr/>
      </w:pPr>
      <w:r>
        <w:rPr>
          <w:i/>
        </w:rPr>
        <w:t>"Interface Completion Date”</w:t>
      </w:r>
      <w:r>
        <w:rPr/>
        <w:t xml:space="preserve"> means the date that the parties agree that all of the Interfaces have been completed, tested, and ready for operations to be conducted in accordance with the terms and conditions of this Agreement.  </w:t>
      </w:r>
    </w:p>
    <w:p>
      <w:pPr>
        <w:pStyle w:val="BodyText"/>
        <w:ind w:firstLine="720" w:end="0"/>
        <w:jc w:val="both"/>
        <w:rPr/>
      </w:pPr>
      <w:r>
        <w:rPr>
          <w:i/>
          <w:iCs/>
        </w:rPr>
        <w:t>"Investment Agreements”</w:t>
      </w:r>
      <w:r>
        <w:rPr/>
        <w:t xml:space="preserve"> means [insert description of agreements pursuant to which Enron acquires equity in the Sponsor].</w:t>
      </w:r>
    </w:p>
    <w:p>
      <w:pPr>
        <w:pStyle w:val="BodyText"/>
        <w:ind w:firstLine="720" w:end="0"/>
        <w:jc w:val="both"/>
        <w:rPr/>
      </w:pPr>
      <w:r>
        <w:rPr>
          <w:i/>
        </w:rPr>
        <w:t xml:space="preserve"> “</w:t>
      </w:r>
      <w:r>
        <w:rPr>
          <w:i/>
        </w:rPr>
        <w:t>Participant”</w:t>
      </w:r>
      <w:r>
        <w:rPr/>
        <w:t xml:space="preserve"> means a customer or user of, participant in, or any other Person that attempts to transact on, the Sponsor Platform.</w:t>
      </w:r>
    </w:p>
    <w:p>
      <w:pPr>
        <w:pStyle w:val="BodyText"/>
        <w:ind w:firstLine="720" w:end="0"/>
        <w:jc w:val="both"/>
        <w:rPr/>
      </w:pPr>
      <w:r>
        <w:rPr>
          <w:i/>
          <w:iCs/>
        </w:rPr>
        <w:t xml:space="preserve">"Person" </w:t>
      </w:r>
      <w:r>
        <w:rPr/>
        <w:t>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BodyText"/>
        <w:ind w:firstLine="720" w:end="0"/>
        <w:jc w:val="both"/>
        <w:rPr>
          <w:u w:val="single"/>
        </w:rPr>
      </w:pPr>
      <w:r>
        <w:rPr>
          <w:i/>
        </w:rPr>
        <w:t>“</w:t>
      </w:r>
      <w:r>
        <w:rPr>
          <w:i/>
        </w:rPr>
        <w:t xml:space="preserve">Proposed Transaction” </w:t>
      </w:r>
      <w:r>
        <w:rPr>
          <w:iCs/>
        </w:rPr>
        <w:t xml:space="preserve">means an offer by a </w:t>
      </w:r>
      <w:r>
        <w:rPr/>
        <w:t xml:space="preserve">Participant to enter into a transaction with Enron through the Sponsor Platform for the purchase of Specified Product from Enron, or sale of Specified Product to Enron, in either case at a price posted by Enron on the Sponsor Platform. </w:t>
      </w:r>
    </w:p>
    <w:p>
      <w:pPr>
        <w:pStyle w:val="BodyText"/>
        <w:ind w:firstLine="720" w:end="0"/>
        <w:jc w:val="both"/>
        <w:rPr/>
      </w:pPr>
      <w:r>
        <w:rPr>
          <w:i/>
          <w:iCs/>
        </w:rPr>
        <w:t>"Regulatory Event"</w:t>
      </w:r>
      <w:r>
        <w:rPr/>
        <w:t xml:space="preserve"> means any event in which such Sponsor, the Sponsor Platform, or their respective business activities becomes subject to regulation under the Commodities Exchange Act, as amended, becomes subject to regulation by the Commodities Futures Trading Commission, or becomes subject to any legal or regulatory proceeding, investigation, action, or review that can reasonably be expected to have a materially adverse effect on the Sponsor, the Sponsor Platform, or their ability to conduct their respective businesses.    </w:t>
      </w:r>
    </w:p>
    <w:p>
      <w:pPr>
        <w:pStyle w:val="BodyText"/>
        <w:ind w:firstLine="720" w:end="0"/>
        <w:jc w:val="both"/>
        <w:rPr/>
      </w:pPr>
      <w:r>
        <w:rPr>
          <w:i/>
          <w:iCs/>
        </w:rPr>
        <w:t>"Representatives”</w:t>
      </w:r>
      <w:r>
        <w:rPr/>
        <w:t xml:space="preserve"> means any party's directors, officers, employees, agents, representatives, and Affiliates.</w:t>
      </w:r>
    </w:p>
    <w:p>
      <w:pPr>
        <w:pStyle w:val="BodyText"/>
        <w:ind w:firstLine="720" w:end="0"/>
        <w:jc w:val="both"/>
        <w:rPr/>
      </w:pPr>
      <w:r>
        <w:rPr>
          <w:i/>
        </w:rPr>
        <w:t>“</w:t>
      </w:r>
      <w:r>
        <w:rPr>
          <w:i/>
        </w:rPr>
        <w:t>Specified Products”</w:t>
      </w:r>
      <w:r>
        <w:rPr/>
        <w:t xml:space="preserve"> means the commodities and derivative products set forth on </w:t>
      </w:r>
      <w:r>
        <w:rPr>
          <w:u w:val="single"/>
        </w:rPr>
        <w:t>Schedule A</w:t>
      </w:r>
      <w:r>
        <w:rPr/>
        <w:t xml:space="preserve"> hereto, as it may be amended from time to time pursuant to </w:t>
      </w:r>
      <w:r>
        <w:rPr>
          <w:u w:val="single"/>
        </w:rPr>
        <w:t>Section 3</w:t>
      </w:r>
      <w:r>
        <w:rPr/>
        <w:t>.</w:t>
      </w:r>
    </w:p>
    <w:p>
      <w:pPr>
        <w:pStyle w:val="BodyText"/>
        <w:ind w:firstLine="720" w:end="0"/>
        <w:jc w:val="both"/>
        <w:rPr/>
      </w:pPr>
      <w:r>
        <w:rPr>
          <w:i/>
        </w:rPr>
        <w:t>“</w:t>
      </w:r>
      <w:r>
        <w:rPr>
          <w:i/>
        </w:rPr>
        <w:t>Sponsor Price Interface”</w:t>
      </w:r>
      <w:r>
        <w:rPr/>
        <w:t xml:space="preserve"> means the Interface described in </w:t>
      </w:r>
      <w:r>
        <w:rPr>
          <w:u w:val="single"/>
        </w:rPr>
        <w:t>Exhibit C</w:t>
      </w:r>
      <w:r>
        <w:rPr/>
        <w:t>.</w:t>
      </w:r>
    </w:p>
    <w:p>
      <w:pPr>
        <w:pStyle w:val="BodyText"/>
        <w:ind w:firstLine="720" w:end="0"/>
        <w:jc w:val="both"/>
        <w:rPr/>
      </w:pPr>
      <w:r>
        <w:rPr/>
        <w:t>“</w:t>
      </w:r>
      <w:r>
        <w:rPr>
          <w:i/>
          <w:iCs/>
        </w:rPr>
        <w:t xml:space="preserve">Sponsor Transaction Interface” </w:t>
      </w:r>
      <w:r>
        <w:rPr/>
        <w:t xml:space="preserve">means the Interface described in </w:t>
      </w:r>
      <w:r>
        <w:rPr>
          <w:u w:val="single"/>
        </w:rPr>
        <w:t>Exhibit D</w:t>
      </w:r>
      <w:r>
        <w:rPr/>
        <w:t xml:space="preserve">.  </w:t>
      </w:r>
    </w:p>
    <w:p>
      <w:pPr>
        <w:pStyle w:val="BodyText"/>
        <w:ind w:firstLine="720" w:end="0"/>
        <w:jc w:val="both"/>
        <w:rPr/>
      </w:pPr>
      <w:r>
        <w:rPr>
          <w:i/>
          <w:iCs/>
        </w:rPr>
        <w:t>"Technology Failure"</w:t>
      </w:r>
      <w:r>
        <w:rPr/>
        <w:t xml:space="preserve"> means (i) any failure of any aspect of the Sponsor Platform (whether with respect to technology, personnel or otherwise), as a result of which Participants are substantially unable to conduct trading activities on the Sponsor Platform for any period of ___ consecutive days or on more than ___ occasions in any ___ period, or (ii) any failure of any Interface for which Sponsor is responsible, as a result of which Participants are substantially unable to conduct trading activities with Enron through the Sponsor Platform for any period of ___ consecutive days or on more than ___ occasions in any ___ day period.</w:t>
      </w:r>
    </w:p>
    <w:p>
      <w:pPr>
        <w:pStyle w:val="BodyText"/>
        <w:ind w:firstLine="720" w:end="0"/>
        <w:jc w:val="both"/>
        <w:rPr/>
      </w:pPr>
      <w:r>
        <w:rPr>
          <w:i/>
          <w:iCs/>
        </w:rPr>
        <w:t>"Transaction Search Interface"</w:t>
      </w:r>
      <w:r>
        <w:rPr/>
        <w:t xml:space="preserve"> means the Interface described in </w:t>
      </w:r>
      <w:r>
        <w:rPr>
          <w:u w:val="single"/>
        </w:rPr>
        <w:t>Exhibit G</w:t>
      </w:r>
      <w:r>
        <w:rPr/>
        <w:t>.</w:t>
      </w:r>
    </w:p>
    <w:p>
      <w:pPr>
        <w:pStyle w:val="BodyText"/>
        <w:ind w:firstLine="720" w:end="0"/>
        <w:jc w:val="both"/>
        <w:rPr/>
      </w:pPr>
      <w:r>
        <w:rPr/>
        <w:t>2.</w:t>
        <w:tab/>
      </w:r>
      <w:r>
        <w:rPr>
          <w:b/>
          <w:u w:val="single"/>
        </w:rPr>
        <w:t>Term</w:t>
      </w:r>
      <w:r>
        <w:rPr>
          <w:b/>
        </w:rPr>
        <w:t>.</w:t>
      </w:r>
      <w:r>
        <w:rPr/>
        <w:t xml:space="preserve">  This Agreement shall be effective for a period of two (2) years from the date hereof (the </w:t>
      </w:r>
      <w:r>
        <w:rPr>
          <w:i/>
          <w:iCs/>
        </w:rPr>
        <w:t>"Initial Term"</w:t>
      </w:r>
      <w:r>
        <w:rPr/>
        <w:t xml:space="preserve">); </w:t>
      </w:r>
      <w:r>
        <w:rPr>
          <w:u w:val="single"/>
        </w:rPr>
        <w:t>provided</w:t>
      </w:r>
      <w:r>
        <w:rPr/>
        <w:t xml:space="preserve">, that Enron may extend the Initial Term for successive additional periods of one (1) year each (each, an </w:t>
      </w:r>
      <w:r>
        <w:rPr>
          <w:i/>
          <w:iCs/>
        </w:rPr>
        <w:t>"Extended Term")</w:t>
      </w:r>
      <w:r>
        <w:rPr/>
        <w:t xml:space="preserve"> upon delivery of written notice to Sponsor at any time prior to the expiration of the Initial Term or the Extended Term (as applicable); </w:t>
      </w:r>
      <w:r>
        <w:rPr>
          <w:u w:val="single"/>
        </w:rPr>
        <w:t>provided</w:t>
      </w:r>
      <w:r>
        <w:rPr/>
        <w:t xml:space="preserve"> </w:t>
      </w:r>
      <w:r>
        <w:rPr>
          <w:u w:val="single"/>
        </w:rPr>
        <w:t>further</w:t>
      </w:r>
      <w:r>
        <w:rPr/>
        <w:t xml:space="preserve"> that this Agreement may be terminated prior to the expiration of the Initial Term or any Extended Term pursuant to </w:t>
      </w:r>
      <w:r>
        <w:rPr>
          <w:u w:val="single"/>
        </w:rPr>
        <w:t>Section 10</w:t>
      </w:r>
      <w:r>
        <w:rPr/>
        <w:t>.</w:t>
      </w:r>
    </w:p>
    <w:p>
      <w:pPr>
        <w:pStyle w:val="Normal"/>
        <w:ind w:firstLine="720" w:end="0"/>
        <w:jc w:val="both"/>
        <w:rPr/>
      </w:pPr>
      <w:r>
        <w:rPr/>
        <w:t>3.</w:t>
        <w:tab/>
      </w:r>
      <w:r>
        <w:rPr>
          <w:b/>
          <w:u w:val="single"/>
        </w:rPr>
        <w:t>Scope of Agreement</w:t>
      </w:r>
      <w:r>
        <w:rPr/>
        <w:t>.</w:t>
      </w:r>
    </w:p>
    <w:p>
      <w:pPr>
        <w:pStyle w:val="Normal"/>
        <w:ind w:firstLine="720" w:end="0"/>
        <w:jc w:val="both"/>
        <w:rPr/>
      </w:pPr>
      <w:r>
        <w:rPr/>
      </w:r>
    </w:p>
    <w:p>
      <w:pPr>
        <w:pStyle w:val="Normal"/>
        <w:ind w:firstLine="720" w:end="0"/>
        <w:jc w:val="both"/>
        <w:rPr/>
      </w:pPr>
      <w:r>
        <w:rPr/>
        <w:t>(a)</w:t>
        <w:tab/>
        <w:t>Enron agrees to post prices for the Specified Products on the Sponsor Platform, commencing on the Interface Completion Date and on and subject to the other terms and conditions of this Agreement.</w:t>
      </w:r>
    </w:p>
    <w:p>
      <w:pPr>
        <w:pStyle w:val="Normal"/>
        <w:ind w:firstLine="720" w:end="0"/>
        <w:jc w:val="both"/>
        <w:rPr/>
      </w:pPr>
      <w:r>
        <w:rPr/>
      </w:r>
    </w:p>
    <w:p>
      <w:pPr>
        <w:pStyle w:val="Normal"/>
        <w:ind w:firstLine="720" w:end="0"/>
        <w:jc w:val="both"/>
        <w:rPr/>
      </w:pPr>
      <w:r>
        <w:rPr/>
        <w:t>(b)</w:t>
        <w:tab/>
        <w:t xml:space="preserve">In addition to Specified Products, Enron may in its sole discretion post prices on the Sponsor Platform for other commodities and derivative products that Sponsor offers on the Sponsor Platform.  Enron shall have no obligation to do so, and Enron may, in its sole discretion, cease posting prices for such additional products at any time.  Enron shall notify Sponsor of its desire to post prices or cease posting prices for such additional products, as the case may be, and Sponsor shall provide such assistance as shall be necessary (including with respect to making any necessary modifications to its Interfaces) to permit Enron to post prices for such additional products.  In the event Enron elects to post prices for additional products pursuant to this </w:t>
      </w:r>
      <w:r>
        <w:rPr>
          <w:u w:val="single"/>
        </w:rPr>
        <w:t>Section 3(b)</w:t>
      </w:r>
      <w:r>
        <w:rPr/>
        <w:t>, such additional product(s) shall be deemed Specified Product(s) for purposes of this Agreement for so long as Enron elects to post prices therefor.</w:t>
      </w:r>
    </w:p>
    <w:p>
      <w:pPr>
        <w:pStyle w:val="Normal"/>
        <w:ind w:firstLine="720" w:end="0"/>
        <w:jc w:val="both"/>
        <w:rPr/>
      </w:pPr>
      <w:r>
        <w:rPr/>
      </w:r>
    </w:p>
    <w:p>
      <w:pPr>
        <w:pStyle w:val="BodyText5J"/>
        <w:spacing w:before="0" w:after="0"/>
        <w:rPr/>
      </w:pPr>
      <w:r>
        <w:rPr/>
        <w:t>(c)</w:t>
        <w:tab/>
        <w:t xml:space="preserve">Enron and Sponsor may agree at any time to amend </w:t>
      </w:r>
      <w:r>
        <w:rPr>
          <w:u w:val="single"/>
        </w:rPr>
        <w:t>Schedule A</w:t>
      </w:r>
      <w:r>
        <w:rPr/>
        <w:t xml:space="preserve"> to add, delete, or modify Specified Products. </w:t>
      </w:r>
    </w:p>
    <w:p>
      <w:pPr>
        <w:pStyle w:val="BodyText5J"/>
        <w:spacing w:before="0" w:after="0"/>
        <w:rPr/>
      </w:pPr>
      <w:r>
        <w:rPr/>
      </w:r>
    </w:p>
    <w:p>
      <w:pPr>
        <w:pStyle w:val="BodyText5J"/>
        <w:spacing w:before="0" w:after="0"/>
        <w:rPr/>
      </w:pPr>
      <w:r>
        <w:rPr/>
        <w:t>(d)</w:t>
        <w:tab/>
        <w:t xml:space="preserve">Enron may, in its sole discretion and without liability to Sponsor, the Sponsor Platform, or any Participant, temporarily or permanently suspend prices for Specified Products at any time that prices for such Specified Products are not being posted or actively maintained on the Enron Platform.  </w:t>
      </w:r>
    </w:p>
    <w:p>
      <w:pPr>
        <w:pStyle w:val="BodyText5J"/>
        <w:spacing w:before="0" w:after="0"/>
        <w:rPr/>
      </w:pPr>
      <w:r>
        <w:rPr/>
      </w:r>
    </w:p>
    <w:p>
      <w:pPr>
        <w:pStyle w:val="BodyText"/>
        <w:ind w:firstLine="720" w:end="0"/>
        <w:jc w:val="both"/>
        <w:rPr/>
      </w:pPr>
      <w:r>
        <w:rPr/>
        <w:t>4.</w:t>
        <w:tab/>
      </w:r>
      <w:r>
        <w:rPr>
          <w:b/>
          <w:u w:val="single"/>
        </w:rPr>
        <w:t>Establishment and Maintenance of Interfaces.</w:t>
      </w:r>
      <w:r>
        <w:rPr/>
        <w:t xml:space="preserve"> </w:t>
      </w:r>
    </w:p>
    <w:p>
      <w:pPr>
        <w:pStyle w:val="BodyText"/>
        <w:ind w:firstLine="720" w:end="0"/>
        <w:jc w:val="both"/>
        <w:rPr>
          <w:i/>
          <w:i/>
        </w:rPr>
      </w:pPr>
      <w:r>
        <w:rPr/>
        <w:t>(a)</w:t>
        <w:tab/>
        <w:t xml:space="preserve">In order to facilitate Enron's posting of prices on the Sponsor Platform and to ensure that the conditions set forth in </w:t>
      </w:r>
      <w:r>
        <w:rPr>
          <w:u w:val="single"/>
        </w:rPr>
        <w:t>Section 5</w:t>
      </w:r>
      <w:r>
        <w:rPr/>
        <w:t xml:space="preserve"> may be satisfied in connection with Proposed Transactions, the parties will provide the Interfaces described in </w:t>
      </w:r>
      <w:r>
        <w:rPr>
          <w:u w:val="single"/>
        </w:rPr>
        <w:t>Schedules A</w:t>
      </w:r>
      <w:r>
        <w:rPr/>
        <w:t xml:space="preserve"> through </w:t>
      </w:r>
      <w:r>
        <w:rPr>
          <w:u w:val="single"/>
        </w:rPr>
        <w:t>G</w:t>
      </w:r>
      <w:r>
        <w:rPr/>
        <w:t xml:space="preserve">, which schedules specify the party responsible for specifying, developing and maintaining such Interfaces.   </w:t>
      </w:r>
    </w:p>
    <w:p>
      <w:pPr>
        <w:pStyle w:val="BodyText"/>
        <w:tabs>
          <w:tab w:val="clear" w:pos="720"/>
          <w:tab w:val="left" w:pos="1440" w:leader="none"/>
          <w:tab w:val="left" w:pos="8640" w:leader="none"/>
        </w:tabs>
        <w:ind w:firstLine="720" w:end="0"/>
        <w:jc w:val="both"/>
        <w:rPr/>
      </w:pPr>
      <w:r>
        <w:rPr/>
        <w:t>(b)</w:t>
        <w:tab/>
        <w:t xml:space="preserve">Sponsor’s right to post Enron’s prices on the Sponsor Platform is not assignable and may not be delegated, and Sponsor may not republish, retransmit or redistribute Enron's prices without Enron’s prior consent; </w:t>
      </w:r>
      <w:r>
        <w:rPr>
          <w:u w:val="single"/>
        </w:rPr>
        <w:t>provided</w:t>
      </w:r>
      <w:r>
        <w:rPr/>
        <w:t xml:space="preserve">, </w:t>
      </w:r>
      <w:r>
        <w:rPr>
          <w:u w:val="single"/>
        </w:rPr>
        <w:t>however</w:t>
      </w:r>
      <w:r>
        <w:rPr/>
        <w:t xml:space="preserve">, that (i) Sponsor may provide composite electronic data feeds to third parties other than Participants </w:t>
      </w:r>
      <w:r>
        <w:rPr>
          <w:u w:val="single"/>
        </w:rPr>
        <w:t>provided</w:t>
      </w:r>
      <w:r>
        <w:rPr/>
        <w:t xml:space="preserve"> that price data from at least six market participants other than Enron are included in such data, and (ii) Sponsor may provide composite electronic data feeds that include Enron’s prices, but do not identify such prices as Enron's prices, to Participants for the sole purpose of permitting such Participants to enhance their trading capabilities on Sponsor’s Platform.</w:t>
      </w:r>
    </w:p>
    <w:p>
      <w:pPr>
        <w:pStyle w:val="BodyText"/>
        <w:ind w:firstLine="720" w:end="0"/>
        <w:jc w:val="both"/>
        <w:rPr>
          <w:iCs/>
        </w:rPr>
      </w:pPr>
      <w:r>
        <w:rPr>
          <w:iCs/>
        </w:rPr>
        <w:t>(c)</w:t>
        <w:tab/>
        <w:t>Each Interface shall be designed, developed and established so as to ensure, to Enron's satisfaction, adequate security of Enron's information maintained in Sponsor's and Enron's Platform and transmitted over the Interfaces.</w:t>
      </w:r>
    </w:p>
    <w:p>
      <w:pPr>
        <w:pStyle w:val="Normal"/>
        <w:ind w:firstLine="720" w:end="0"/>
        <w:jc w:val="both"/>
        <w:rPr/>
      </w:pPr>
      <w:r>
        <w:rPr/>
        <w:t>(d)</w:t>
        <w:tab/>
      </w:r>
      <w:r>
        <w:rPr>
          <w:color w:val="000000"/>
        </w:rPr>
        <w:t xml:space="preserve">The party responsible for establishing an Interface shall be responsible for operating and maintaining the Interface in accordance with and throughout the term of this Agreement.  Each party </w:t>
      </w:r>
      <w:r>
        <w:rPr/>
        <w:t>agrees to cooperate with the other party, including by providing all information, assistance, and access to and services of such party's information technology personnel, as shall be reasonably requested by such other party in connection with the operation and maintenance of the Interfaces provided by such other party.  In addition, each party will give the other party reasonable notice of, and an opportunity to discuss, any proposed or scheduled modifications to any aspect of such party's Platform in order to ensure continued reliability and operations of the Interfaces.</w:t>
      </w:r>
    </w:p>
    <w:p>
      <w:pPr>
        <w:pStyle w:val="Normal"/>
        <w:ind w:firstLine="720" w:end="0"/>
        <w:jc w:val="both"/>
        <w:rPr/>
      </w:pPr>
      <w:r>
        <w:rPr/>
      </w:r>
    </w:p>
    <w:p>
      <w:pPr>
        <w:pStyle w:val="Normal"/>
        <w:ind w:firstLine="720" w:end="0"/>
        <w:jc w:val="both"/>
        <w:rPr/>
      </w:pPr>
      <w:r>
        <w:rPr/>
        <w:t>(e)</w:t>
        <w:tab/>
        <w:t>Sponsor agrees to provide, at Sponsor’s expense, accurate matching (“mapping”) through the ID Interface of the Specified Products with the prices posted by Enron for such products.  Each party shall promptly notify the other party of any mapping errors.  Sponsor shall be solely responsible for the accuracy of such mapping.</w:t>
      </w:r>
    </w:p>
    <w:p>
      <w:pPr>
        <w:pStyle w:val="Normal"/>
        <w:ind w:firstLine="720" w:end="0"/>
        <w:jc w:val="both"/>
        <w:rPr/>
      </w:pPr>
      <w:r>
        <w:rPr/>
      </w:r>
    </w:p>
    <w:p>
      <w:pPr>
        <w:pStyle w:val="Normal"/>
        <w:ind w:firstLine="720" w:end="0"/>
        <w:jc w:val="both"/>
        <w:rPr/>
      </w:pPr>
      <w:r>
        <w:rPr/>
        <w:t>5.</w:t>
        <w:tab/>
      </w:r>
      <w:r>
        <w:rPr>
          <w:b/>
          <w:u w:val="single"/>
        </w:rPr>
        <w:t>Execution of Transactions.</w:t>
      </w:r>
      <w:r>
        <w:rPr/>
        <w:t xml:space="preserve"> </w:t>
      </w:r>
    </w:p>
    <w:p>
      <w:pPr>
        <w:pStyle w:val="Normal"/>
        <w:ind w:firstLine="720" w:end="0"/>
        <w:jc w:val="both"/>
        <w:rPr/>
      </w:pPr>
      <w:r>
        <w:rPr/>
      </w:r>
    </w:p>
    <w:p>
      <w:pPr>
        <w:pStyle w:val="Normal"/>
        <w:ind w:firstLine="720" w:end="0"/>
        <w:jc w:val="both"/>
        <w:rPr>
          <w:b/>
          <w:bCs/>
          <w:color w:val="FF0000"/>
        </w:rPr>
      </w:pPr>
      <w:r>
        <w:rPr/>
        <w:t>(a)</w:t>
        <w:tab/>
        <w:t>The parties agree that the Enron Platform shall be the "point of contract" for all transactions consummated upon prices posted by Enron on the Sponsor Platform.  Accordingly, prices posted by Enron on the Sponsor Platform shall not be deemed to be offers to sell or buy, but shall instead constitute an invitation to Participants to submit a Proposed Transaction to Enron through the Sponsor Platform.  A Proposed Transaction shall not become an Executed Transaction, and Enron shall have no obligations whatsoever to such Participant, to Sponsor or the Sponsor Platform with respect to a Proposed Transaction, unless and until the Enron Platform determines that each of the following conditions have been satisfied:</w:t>
      </w:r>
    </w:p>
    <w:p>
      <w:pPr>
        <w:pStyle w:val="Normal"/>
        <w:rPr>
          <w:b/>
          <w:bCs/>
          <w:color w:val="FF0000"/>
        </w:rPr>
      </w:pPr>
      <w:r>
        <w:rPr>
          <w:b/>
          <w:bCs/>
          <w:color w:val="FF0000"/>
        </w:rPr>
      </w:r>
    </w:p>
    <w:p>
      <w:pPr>
        <w:pStyle w:val="BodyText"/>
        <w:ind w:hanging="720" w:start="1440" w:end="0"/>
        <w:jc w:val="both"/>
        <w:rPr/>
      </w:pPr>
      <w:r>
        <w:rPr/>
        <w:t>(i)</w:t>
        <w:tab/>
        <w:t xml:space="preserve">all information regarding the Proposed Transaction shall have been transmitted to the Enron Platform through the Enron Transaction Interface.  </w:t>
      </w:r>
    </w:p>
    <w:p>
      <w:pPr>
        <w:pStyle w:val="BodyText"/>
        <w:ind w:hanging="720" w:start="1440" w:end="0"/>
        <w:jc w:val="both"/>
        <w:rPr/>
      </w:pPr>
      <w:r>
        <w:rPr/>
        <w:t>(ii)</w:t>
        <w:tab/>
        <w:t>the credit of the Participant shall have been approved by Enron with respect to the Proposed Transaction ; and</w:t>
      </w:r>
    </w:p>
    <w:p>
      <w:pPr>
        <w:pStyle w:val="BodyText"/>
        <w:ind w:hanging="720" w:start="1440" w:end="0"/>
        <w:jc w:val="both"/>
        <w:rPr/>
      </w:pPr>
      <w:r>
        <w:rPr/>
        <w:t>(iii)</w:t>
        <w:tab/>
        <w:t>the quantity and price of the Proposed Transaction are still available on the Enron Platform; and</w:t>
      </w:r>
    </w:p>
    <w:p>
      <w:pPr>
        <w:pStyle w:val="BodyText"/>
        <w:ind w:hanging="720" w:start="1440" w:end="0"/>
        <w:jc w:val="both"/>
        <w:rPr/>
      </w:pPr>
      <w:r>
        <w:rPr/>
        <w:t>(iv)</w:t>
        <w:tab/>
        <w:t xml:space="preserve">the Participant shall have agreed to the Enron Contract Terms. </w:t>
      </w:r>
    </w:p>
    <w:p>
      <w:pPr>
        <w:pStyle w:val="BodyText"/>
        <w:ind w:firstLine="720" w:end="0"/>
        <w:jc w:val="both"/>
        <w:rPr/>
      </w:pPr>
      <w:r>
        <w:rPr/>
        <w:t>(b)</w:t>
        <w:tab/>
        <w:t xml:space="preserve">If, and only if, the Enron Platform determines that the foregoing conditions are satisfied with respect to a Proposed Transaction, the Proposed Transaction will be accepted and become an Executed Transaction.  Enron will transmit to the Sponsor Platform, through the Enron Transaction Interface, a notification that such Proposed Transaction has been executed; </w:t>
      </w:r>
      <w:r>
        <w:rPr>
          <w:u w:val="single"/>
        </w:rPr>
        <w:t>provided</w:t>
      </w:r>
      <w:r>
        <w:rPr/>
        <w:t xml:space="preserve">, </w:t>
      </w:r>
      <w:r>
        <w:rPr>
          <w:u w:val="single"/>
        </w:rPr>
        <w:t>however</w:t>
      </w:r>
      <w:r>
        <w:rPr/>
        <w:t xml:space="preserve">, such Proposed Transaction will be deemed to have been accepted and become an Executed Transaction regardless of whether such notification is sent or received.  </w:t>
      </w:r>
    </w:p>
    <w:p>
      <w:pPr>
        <w:pStyle w:val="Normal"/>
        <w:ind w:firstLine="720" w:end="0"/>
        <w:jc w:val="both"/>
        <w:rPr/>
      </w:pPr>
      <w:r>
        <w:rPr/>
        <w:t>(c)</w:t>
        <w:tab/>
        <w:t>Enron will not be required to pay any commissions or other charges to Sponsor or the Sponsor Platform with respect to Proposed Transactions or Executed Transactions.  Any commissions or charges required to be paid to Sponsor by Participant with respect to Proposed Transactions or Executed Transactions shall be no greater than the amounts that would otherwise be charged to Participant on transactions executed through the Sponsor Platform with Participants other than Enron, in accordance with the Platform’s commission schedule as then generally in effect.</w:t>
      </w:r>
    </w:p>
    <w:p>
      <w:pPr>
        <w:pStyle w:val="Normal"/>
        <w:ind w:firstLine="720" w:end="0"/>
        <w:jc w:val="both"/>
        <w:rPr/>
      </w:pPr>
      <w:r>
        <w:rPr/>
      </w:r>
    </w:p>
    <w:p>
      <w:pPr>
        <w:pStyle w:val="Normal"/>
        <w:ind w:firstLine="720" w:end="0"/>
        <w:jc w:val="both"/>
        <w:rPr/>
      </w:pPr>
      <w:r>
        <w:rPr/>
        <w:t>(d)</w:t>
        <w:tab/>
        <w:t>Any and all Executed Transactions shall be solely between Enron and such Participant, and shall be subject to and construed in accordance with Enron Contract Terms, and neither Sponsor nor the Sponsor Platform shall have any involvement therein (except as expressly set forth herein) or rights or obligations with respect thereto.</w:t>
      </w:r>
    </w:p>
    <w:p>
      <w:pPr>
        <w:pStyle w:val="BodyText"/>
        <w:tabs>
          <w:tab w:val="clear" w:pos="720"/>
          <w:tab w:val="left" w:pos="1440" w:leader="none"/>
          <w:tab w:val="left" w:pos="8640" w:leader="none"/>
        </w:tabs>
        <w:spacing w:before="0" w:after="0"/>
        <w:ind w:firstLine="720" w:end="0"/>
        <w:jc w:val="both"/>
        <w:rPr/>
      </w:pPr>
      <w:r>
        <w:rPr/>
      </w:r>
    </w:p>
    <w:p>
      <w:pPr>
        <w:pStyle w:val="BodyText"/>
        <w:tabs>
          <w:tab w:val="clear" w:pos="720"/>
          <w:tab w:val="left" w:pos="1440" w:leader="none"/>
          <w:tab w:val="left" w:pos="8640" w:leader="none"/>
        </w:tabs>
        <w:ind w:firstLine="720" w:end="0"/>
        <w:jc w:val="both"/>
        <w:rPr/>
      </w:pPr>
      <w:r>
        <w:rPr/>
        <w:t>(e)</w:t>
        <w:tab/>
        <w:t xml:space="preserve">Enron shall not be required to act in a manner that is inconsistent with or contrary to its business methods, practices or policies employed by Enron or by the Enron Platform.  Enron may, at any time in its sole discretion and without Sponsor's consent, change or amend its business methods, practices, policies, Enron Terms or Enron Platform Agreements, but agrees that it shall provide reasonable notice to Sponsor of any such changes that would affect the manner in which Participants could transact with Enron through the Sponsor Platform; </w:t>
      </w:r>
      <w:r>
        <w:rPr>
          <w:u w:val="single"/>
        </w:rPr>
        <w:t>provided</w:t>
      </w:r>
      <w:r>
        <w:rPr/>
        <w:t xml:space="preserve">, </w:t>
      </w:r>
      <w:r>
        <w:rPr>
          <w:u w:val="single"/>
        </w:rPr>
        <w:t>however</w:t>
      </w:r>
      <w:r>
        <w:rPr/>
        <w:t xml:space="preserve">, that nothing in this </w:t>
      </w:r>
      <w:r>
        <w:rPr>
          <w:u w:val="single"/>
        </w:rPr>
        <w:t>Section 5(e)</w:t>
      </w:r>
      <w:r>
        <w:rPr/>
        <w:t xml:space="preserve"> shall limit the Sponsor's rights under </w:t>
      </w:r>
      <w:r>
        <w:rPr>
          <w:u w:val="single"/>
        </w:rPr>
        <w:t>Section 10</w:t>
      </w:r>
      <w:r>
        <w:rPr/>
        <w:t>.</w:t>
      </w:r>
    </w:p>
    <w:p>
      <w:pPr>
        <w:pStyle w:val="BodyText"/>
        <w:tabs>
          <w:tab w:val="clear" w:pos="720"/>
          <w:tab w:val="left" w:pos="1440" w:leader="none"/>
          <w:tab w:val="left" w:pos="8640" w:leader="none"/>
        </w:tabs>
        <w:ind w:firstLine="720" w:end="0"/>
        <w:jc w:val="both"/>
        <w:rPr/>
      </w:pPr>
      <w:r>
        <w:rPr/>
        <w:t>6.</w:t>
        <w:tab/>
      </w:r>
      <w:r>
        <w:rPr>
          <w:b/>
          <w:u w:val="single"/>
        </w:rPr>
        <w:t>Access Agreements</w:t>
      </w:r>
      <w:r>
        <w:rPr/>
        <w:t>.  Enron shall be satisfied at all times that the Access Agreements provide for the appropriate legal framework for transactions conducted with Enron through the Sponsor Platform.  Sponsor agrees to provide Enron with advance copies and opportunity to comment on all such disclosures and notices prior to distribution to Participants.  Sponsor further agrees that no changes shall be made to any Access Agreements, in any respect that materially affects the rights or obligations of Enron or Sponsor under this Agreement, without the consent of Enron.</w:t>
      </w:r>
    </w:p>
    <w:p>
      <w:pPr>
        <w:pStyle w:val="BodyText"/>
        <w:tabs>
          <w:tab w:val="clear" w:pos="720"/>
          <w:tab w:val="left" w:pos="1440" w:leader="none"/>
          <w:tab w:val="left" w:pos="8640" w:leader="none"/>
        </w:tabs>
        <w:ind w:firstLine="720" w:end="0"/>
        <w:jc w:val="both"/>
        <w:rPr/>
      </w:pPr>
      <w:r>
        <w:rPr/>
        <w:t>7.</w:t>
        <w:tab/>
      </w:r>
      <w:r>
        <w:rPr>
          <w:b/>
          <w:u w:val="single"/>
        </w:rPr>
        <w:t>Costs and Expenses</w:t>
      </w:r>
      <w:r>
        <w:rPr/>
        <w:t>.  Except as expressly provided otherwise in this Agreement, each party shall be solely responsible for all costs and expenses of operating its respective Platform and Interface, including but not limited to those costs and expenses associated with compliance with the terms of this Agreement.</w:t>
      </w:r>
    </w:p>
    <w:p>
      <w:pPr>
        <w:pStyle w:val="BodyText"/>
        <w:tabs>
          <w:tab w:val="clear" w:pos="720"/>
          <w:tab w:val="left" w:pos="1440" w:leader="none"/>
          <w:tab w:val="left" w:pos="8640" w:leader="none"/>
        </w:tabs>
        <w:ind w:firstLine="720" w:end="0"/>
        <w:jc w:val="both"/>
        <w:rPr/>
      </w:pPr>
      <w:r>
        <w:rPr/>
        <w:t>8.</w:t>
        <w:tab/>
      </w:r>
      <w:r>
        <w:rPr>
          <w:b/>
          <w:u w:val="single"/>
        </w:rPr>
        <w:t>Representations and Warranties</w:t>
      </w:r>
      <w:r>
        <w:rPr/>
        <w:t xml:space="preserve">.  Each party represents and warrants to the other party that: (a) it is a corporation, duly organized and in good standing under the laws of each jurisdiction in which the failure to be in good standing would have a material adverse effect upon it; (b) it has all necessary power and authority to execute and perform this Agreement, (b) this Agreement is its legal, valid and binding agreement, enforceable against it in accordance with its terms, and (c) neither the execution of nor performance under this Agreement by it violates any law, rule, regulation or order, or any agreement, document or instrument, binding on or applicable to it; (d) it has obtained all consents, approvals, authorizations, qualifications required by any governmental entity or pursuant to any contract or agreement binding upon it that are necessary for the execution, delivery and performance of this Agreement; (e) there is no action, suit, proceeding, governmental investigation or any arbitration pending or, to the knowledge of such party, threatened, against such party which challenges the validity of this Agreement or, if adversely determined, would have a material adverse effect on such party or its ability to perform its obligations under this Agreement; (f) it is in compliance with all laws and regulations (including those that require permits and authorizations) applicable to it; (g) it owns or has the right to use, free and clear of all liens, all patents, trademarks, service marks, trade names, and copyrights, applications, licenses, know-how, inventions, designs, processes, works of authorship, software and technical data and information used in the conduct of its business as now conducted and as proposed to be conducted upon performance of this Agreement; and (h) this Agreement constitutes its legal, valid and binding obligation.  Without limitation of the foregoing, Sponsor represents and warrants that the Sponsor Platform, and transactions executed through the Sponsor Platform, are in compliance with applicable laws and regulations in all material respects, including without limitation the Commodity Exchange Act, as amended.  Sponsor agrees to provide Enron, upon its reasonable request, with documentation supporting the representation and warranty set forth in the immediately preceding sentence, in form and substance reasonably satisfactory to Enron. </w:t>
      </w:r>
    </w:p>
    <w:p>
      <w:pPr>
        <w:pStyle w:val="BodyText"/>
        <w:tabs>
          <w:tab w:val="clear" w:pos="720"/>
          <w:tab w:val="left" w:pos="1440" w:leader="none"/>
          <w:tab w:val="left" w:pos="8640" w:leader="none"/>
        </w:tabs>
        <w:ind w:firstLine="720" w:end="0"/>
        <w:jc w:val="both"/>
        <w:rPr/>
      </w:pPr>
      <w:r>
        <w:rPr/>
        <w:t>9.</w:t>
        <w:tab/>
      </w:r>
      <w:r>
        <w:rPr>
          <w:b/>
          <w:bCs/>
          <w:u w:val="single"/>
        </w:rPr>
        <w:t>Covenants.</w:t>
      </w:r>
      <w:r>
        <w:rPr/>
        <w:t xml:space="preserve">  In addition to its other agreements made herein:</w:t>
      </w:r>
    </w:p>
    <w:p>
      <w:pPr>
        <w:pStyle w:val="BodyText"/>
        <w:tabs>
          <w:tab w:val="clear" w:pos="720"/>
          <w:tab w:val="left" w:pos="1440" w:leader="none"/>
          <w:tab w:val="left" w:pos="8640" w:leader="none"/>
        </w:tabs>
        <w:ind w:firstLine="720" w:end="0"/>
        <w:jc w:val="both"/>
        <w:rPr/>
      </w:pPr>
      <w:r>
        <w:rPr/>
        <w:t>(a)</w:t>
        <w:tab/>
        <w:t>Enron covenants and agrees that, during the term of this Agreement: (a) it will conduct its business, operate its Platforms and the Interfaces, and perform its obligations under this Agreement in compliance with all applicable laws, rules and regulations; (b) it will immediately notify Sponsor of any Bankruptcy Event, Technology Failure, or Claim; (c) it will refrain from disparaging, either in writing or otherwise, the Sponsor or the Sponsor Platform; and (d) it will maintain an accurate record of all Participant activity on the Sponsor Platform with respect to transactions governed by this Agreement and will provide to the Sponsor all information regarding such transactions that Sponsor shall reasonably request in connection with Sponsor's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r>
        <w:rPr/>
        <w:t>(b)</w:t>
        <w:tab/>
        <w:t>Sponsor covenants and agrees that, during the term of this Agreement: (a) it will conduct its business, operate its Platforms and the Interfaces, and perform its obligations under this Agreement in compliance with all applicable laws, rules and regulations; and (b) it will immediately notify Enron of any Bankruptcy Event, Change of Control, Regulatory Event, Technology Failure, or Claim; (c) it will refrain from disparaging, either in writing or otherwise, Enron or the Enron Platform; and (d) it will maintain an accurate record of all Participant activity on the Enron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r>
        <w:rPr/>
        <w:t>10.</w:t>
        <w:tab/>
      </w:r>
      <w:r>
        <w:rPr>
          <w:b/>
          <w:u w:val="single"/>
        </w:rPr>
        <w:t>Termination Events</w:t>
      </w:r>
      <w:r>
        <w:rPr>
          <w:b/>
        </w:rPr>
        <w:t>.</w:t>
      </w:r>
    </w:p>
    <w:p>
      <w:pPr>
        <w:pStyle w:val="BodyText"/>
        <w:tabs>
          <w:tab w:val="clear" w:pos="720"/>
          <w:tab w:val="left" w:pos="8640" w:leader="none"/>
        </w:tabs>
        <w:ind w:hanging="720" w:start="1440" w:end="0"/>
        <w:jc w:val="both"/>
        <w:rPr/>
      </w:pPr>
      <w:r>
        <w:rPr>
          <w:bCs/>
        </w:rPr>
        <w:t>(a)</w:t>
      </w:r>
      <w:r>
        <w:rPr>
          <w:bCs/>
          <w:i/>
          <w:iCs/>
        </w:rPr>
        <w:tab/>
        <w:t>Termination by Enron.</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The Interface Completion Date shall not have occurred within ninety (90) days of the date of this Agreement, and Sponsor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Sponsor shall have failed to comply with any term or provision of this Agreement, and such failure shall have continued for a period of five (5) days following notice of such failure by Enron;</w:t>
      </w:r>
    </w:p>
    <w:p>
      <w:pPr>
        <w:pStyle w:val="BodyText"/>
        <w:tabs>
          <w:tab w:val="clear" w:pos="720"/>
          <w:tab w:val="left" w:pos="8640" w:leader="none"/>
        </w:tabs>
        <w:ind w:hanging="720" w:start="1440" w:end="0"/>
        <w:jc w:val="both"/>
        <w:rPr/>
      </w:pPr>
      <w:r>
        <w:rPr/>
        <w:t>(ii)</w:t>
        <w:tab/>
        <w:t>on any date, the Sponsor Platform shall not have completed transactions with an average daily volume of at least 10,000,000 MMBTUs or 160,000 MWHs over the previous ninety (90) day period;</w:t>
      </w:r>
    </w:p>
    <w:p>
      <w:pPr>
        <w:pStyle w:val="BodyText"/>
        <w:tabs>
          <w:tab w:val="clear" w:pos="720"/>
          <w:tab w:val="left" w:pos="8640" w:leader="none"/>
        </w:tabs>
        <w:ind w:hanging="720" w:start="1440" w:end="0"/>
        <w:jc w:val="both"/>
        <w:rPr/>
      </w:pPr>
      <w:r>
        <w:rPr/>
        <w:t>(iii)</w:t>
        <w:tab/>
        <w:t xml:space="preserve">Sponsor's errors in “mapping” of Specified Products, as determined in the judgment of Enron, occur on more than three (3) occasions within any thirty (30) day period; </w:t>
      </w:r>
    </w:p>
    <w:p>
      <w:pPr>
        <w:pStyle w:val="BodyText"/>
        <w:tabs>
          <w:tab w:val="clear" w:pos="720"/>
          <w:tab w:val="left" w:pos="8640" w:leader="none"/>
        </w:tabs>
        <w:ind w:hanging="720" w:start="1440" w:end="0"/>
        <w:jc w:val="both"/>
        <w:rPr/>
      </w:pPr>
      <w:r>
        <w:rPr/>
        <w:t>(v)</w:t>
        <w:tab/>
        <w:t>Disputes between Enron and any Participants regarding whether or not transactions were entered into between Enron and such Participants through the Sponsor Platform, or the terms upon which transactions entered into between Enron and such Participants were executed through the Sponsor Platform, occur on more than three (3) occasions within any thirty day (30) period and are not resolved to the satisfaction of Enron and the relevant Participant within five (5) business days;</w:t>
      </w:r>
    </w:p>
    <w:p>
      <w:pPr>
        <w:pStyle w:val="BodyText"/>
        <w:tabs>
          <w:tab w:val="clear" w:pos="720"/>
          <w:tab w:val="left" w:pos="1440" w:leader="none"/>
          <w:tab w:val="left" w:pos="8640" w:leader="none"/>
        </w:tabs>
        <w:ind w:start="720" w:end="0"/>
        <w:jc w:val="both"/>
        <w:rPr/>
      </w:pPr>
      <w:r>
        <w:rPr/>
        <w:t>(vi)</w:t>
        <w:tab/>
        <w:t>A Bankruptcy Event occurs with respect to Sponsor;</w:t>
      </w:r>
    </w:p>
    <w:p>
      <w:pPr>
        <w:pStyle w:val="BodyText"/>
        <w:tabs>
          <w:tab w:val="clear" w:pos="720"/>
          <w:tab w:val="left" w:pos="8640" w:leader="none"/>
        </w:tabs>
        <w:ind w:hanging="720" w:start="1440" w:end="0"/>
        <w:jc w:val="both"/>
        <w:rPr/>
      </w:pPr>
      <w:r>
        <w:rPr/>
        <w:t>(vii)</w:t>
        <w:tab/>
        <w:t>A Technology Failure shall have occurred and Enron shall have determined that such Technology Failure will have a material adverse effect on Sponsor;</w:t>
      </w:r>
    </w:p>
    <w:p>
      <w:pPr>
        <w:pStyle w:val="BodyText"/>
        <w:tabs>
          <w:tab w:val="clear" w:pos="720"/>
          <w:tab w:val="left" w:pos="8640" w:leader="none"/>
        </w:tabs>
        <w:ind w:hanging="720" w:start="1440" w:end="0"/>
        <w:jc w:val="both"/>
        <w:rPr/>
      </w:pPr>
      <w:r>
        <w:rPr/>
        <w:t>(viii)</w:t>
        <w:tab/>
        <w:t>A Change of Control shall have occurred with respect to the Sponsor;</w:t>
      </w:r>
    </w:p>
    <w:p>
      <w:pPr>
        <w:pStyle w:val="BodyText"/>
        <w:tabs>
          <w:tab w:val="clear" w:pos="720"/>
          <w:tab w:val="left" w:pos="8640" w:leader="none"/>
        </w:tabs>
        <w:ind w:hanging="720" w:start="1440" w:end="0"/>
        <w:jc w:val="both"/>
        <w:rPr/>
      </w:pPr>
      <w:r>
        <w:rPr/>
        <w:t>(ix)</w:t>
        <w:tab/>
        <w:t>A Regulatory Event shall have occurred that shall not have been suspended, terminated, remedied or otherwise resolved to the satisfaction of Enron within five (5) days of its occurrence;</w:t>
      </w:r>
    </w:p>
    <w:p>
      <w:pPr>
        <w:pStyle w:val="BodyText"/>
        <w:tabs>
          <w:tab w:val="clear" w:pos="720"/>
          <w:tab w:val="left" w:pos="8640" w:leader="none"/>
        </w:tabs>
        <w:ind w:hanging="720" w:start="1440" w:end="0"/>
        <w:jc w:val="both"/>
        <w:rPr/>
      </w:pPr>
      <w:r>
        <w:rPr/>
        <w:t>(x)</w:t>
        <w:tab/>
        <w:t>Sponsor shall be in default of any of the Investment Agreements;</w:t>
      </w:r>
    </w:p>
    <w:p>
      <w:pPr>
        <w:pStyle w:val="BodyText"/>
        <w:tabs>
          <w:tab w:val="clear" w:pos="720"/>
          <w:tab w:val="left" w:pos="8640" w:leader="none"/>
        </w:tabs>
        <w:jc w:val="both"/>
        <w:rPr/>
      </w:pPr>
      <w:r>
        <w:rPr/>
        <w:t xml:space="preserve">then Enron may terminate this Agreement immediately upon notice to Sponsor; </w:t>
      </w:r>
      <w:r>
        <w:rPr>
          <w:u w:val="single"/>
        </w:rPr>
        <w:t>provided</w:t>
      </w:r>
      <w:r>
        <w:rPr/>
        <w:t xml:space="preserve">, </w:t>
      </w:r>
      <w:r>
        <w:rPr>
          <w:u w:val="single"/>
        </w:rPr>
        <w:t>however</w:t>
      </w:r>
      <w:r>
        <w:rPr/>
        <w:t xml:space="preserve">, that pending any such termination of this Agreement by virtue of any grace or notice period that is provided above, Enron may cease posting prices on the Sponsor Platform immediately and without notice to Sponsor. </w:t>
      </w:r>
    </w:p>
    <w:p>
      <w:pPr>
        <w:pStyle w:val="BodyText"/>
        <w:tabs>
          <w:tab w:val="clear" w:pos="720"/>
          <w:tab w:val="left" w:pos="8640" w:leader="none"/>
        </w:tabs>
        <w:ind w:hanging="720" w:start="1440" w:end="0"/>
        <w:jc w:val="both"/>
        <w:rPr/>
      </w:pPr>
      <w:r>
        <w:rPr>
          <w:bCs/>
        </w:rPr>
        <w:t>(b)</w:t>
      </w:r>
      <w:r>
        <w:rPr>
          <w:bCs/>
          <w:i/>
          <w:iCs/>
        </w:rPr>
        <w:tab/>
        <w:t>Termination by Sponsor.</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Enron shall have failed to comply with any term or provision of this Agreement, and such failure shall have continued for a period of five (5) days following notice of such failure by Sponsor;</w:t>
      </w:r>
    </w:p>
    <w:p>
      <w:pPr>
        <w:pStyle w:val="BodyText"/>
        <w:tabs>
          <w:tab w:val="clear" w:pos="720"/>
          <w:tab w:val="left" w:pos="1440" w:leader="none"/>
          <w:tab w:val="left" w:pos="8640" w:leader="none"/>
        </w:tabs>
        <w:ind w:start="720" w:end="0"/>
        <w:jc w:val="both"/>
        <w:rPr/>
      </w:pPr>
      <w:r>
        <w:rPr/>
        <w:t>(ii)</w:t>
        <w:tab/>
        <w:t>A Bankruptcy Event occurs with respect to Enron; or</w:t>
      </w:r>
    </w:p>
    <w:p>
      <w:pPr>
        <w:pStyle w:val="BodyText"/>
        <w:tabs>
          <w:tab w:val="clear" w:pos="720"/>
          <w:tab w:val="left" w:pos="8640" w:leader="none"/>
        </w:tabs>
        <w:ind w:hanging="720" w:start="1440" w:end="0"/>
        <w:jc w:val="both"/>
        <w:rPr/>
      </w:pPr>
      <w:r>
        <w:rPr/>
        <w:t>(iii)</w:t>
        <w:tab/>
        <w:t>Enron shall be in default of any of the Investment Agreements;</w:t>
      </w:r>
    </w:p>
    <w:p>
      <w:pPr>
        <w:pStyle w:val="BodyText"/>
        <w:tabs>
          <w:tab w:val="clear" w:pos="720"/>
          <w:tab w:val="left" w:pos="8640" w:leader="none"/>
        </w:tabs>
        <w:jc w:val="both"/>
        <w:rPr/>
      </w:pPr>
      <w:r>
        <w:rPr/>
        <w:t xml:space="preserve">  </w:t>
      </w:r>
      <w:r>
        <w:rPr/>
        <w:t xml:space="preserve">then Sponsor may, with five (5) days prior written notice to Enron, terminate this Agreement.  </w:t>
      </w:r>
    </w:p>
    <w:p>
      <w:pPr>
        <w:pStyle w:val="BodyText"/>
        <w:tabs>
          <w:tab w:val="left" w:pos="720" w:leader="none"/>
          <w:tab w:val="left" w:pos="1440" w:leader="none"/>
          <w:tab w:val="left" w:pos="8640" w:leader="none"/>
        </w:tabs>
        <w:jc w:val="both"/>
        <w:rPr/>
      </w:pPr>
      <w:r>
        <w:rPr/>
        <w:tab/>
        <w:t>11.</w:t>
        <w:tab/>
      </w:r>
      <w:r>
        <w:rPr>
          <w:b/>
          <w:u w:val="single"/>
        </w:rPr>
        <w:t>Confidentiality</w:t>
      </w:r>
      <w:r>
        <w:rPr>
          <w:b/>
        </w:rPr>
        <w:t>.</w:t>
      </w:r>
    </w:p>
    <w:p>
      <w:pPr>
        <w:pStyle w:val="BodyText"/>
        <w:tabs>
          <w:tab w:val="clear" w:pos="720"/>
          <w:tab w:val="left" w:pos="1440" w:leader="none"/>
          <w:tab w:val="left" w:pos="8640" w:leader="none"/>
        </w:tabs>
        <w:ind w:firstLine="720" w:end="0"/>
        <w:jc w:val="both"/>
        <w:rPr/>
      </w:pPr>
      <w:r>
        <w:rPr>
          <w:bCs/>
        </w:rPr>
        <w:t>(a)</w:t>
        <w:tab/>
      </w:r>
      <w:r>
        <w:rPr/>
        <w:t>Each party acknowledges that it or its Representatives may, in connection with the performance of its obligations under this Agree</w:t>
        <w:softHyphen/>
        <w:t>ment, be exposed to or acquire information which is proprietary to or confidential to the other party, its Affiliates or third parties to whom such party has a duty of confidenti</w:t>
        <w:softHyphen/>
        <w:t>ali</w:t>
        <w:softHyphen/>
        <w:t>ty.  Any and all non-public informa</w:t>
        <w:softHyphen/>
        <w:t>tion of any form obtained by such party or its Representatives arising out of or related to this Agreement, including but not limited to the existence or terms of this Agreement,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(other than its Representatives) or to use such information for any purpose whatso</w:t>
        <w:softHyphen/>
        <w:t>ev</w:t>
        <w:softHyphen/>
        <w:t>er other than as contemplated by this Agreement and to advise each of its Representatives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indepen</w:t>
        <w:softHyphen/>
        <w:t>dently developed by such party outside of this Agreement,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tabs>
          <w:tab w:val="clear" w:pos="720"/>
          <w:tab w:val="left" w:pos="8640" w:leader="none"/>
        </w:tabs>
        <w:ind w:firstLine="720" w:end="0"/>
        <w:jc w:val="both"/>
        <w:rPr/>
      </w:pPr>
      <w:r>
        <w:rPr/>
        <w:t xml:space="preserve">(b) Without limitation of the foregoing, each party agrees that it will not redistribute or retransmit any data or information received by it through the Interfaces or otherwise, except in accordance with the terms and conditions of this Agreement.  Sponsor further agrees that it will obtain the agreement of each Participant, through its Access Agreement with each such Participant, to the matters set forth in this </w:t>
      </w:r>
      <w:r>
        <w:rPr>
          <w:u w:val="single"/>
        </w:rPr>
        <w:t>Section 11</w:t>
      </w:r>
      <w:r>
        <w:rPr/>
        <w:t>.</w:t>
      </w:r>
    </w:p>
    <w:p>
      <w:pPr>
        <w:pStyle w:val="BodyText"/>
        <w:tabs>
          <w:tab w:val="clear" w:pos="720"/>
          <w:tab w:val="left" w:pos="1440" w:leader="none"/>
          <w:tab w:val="left" w:pos="8640" w:leader="none"/>
        </w:tabs>
        <w:ind w:firstLine="720" w:end="0"/>
        <w:jc w:val="both"/>
        <w:rPr/>
      </w:pPr>
      <w:r>
        <w:rPr/>
        <w:t>12.</w:t>
        <w:tab/>
      </w:r>
      <w:r>
        <w:rPr>
          <w:b/>
          <w:u w:val="single"/>
        </w:rPr>
        <w:t>Indemnification; Limitations on Liability</w:t>
      </w:r>
      <w:r>
        <w:rPr>
          <w:b/>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Cs/>
        </w:rPr>
        <w:tab/>
        <w:t>(a)</w:t>
      </w:r>
      <w:r>
        <w:rPr/>
        <w:tab/>
        <w:t xml:space="preserve">To the fullest extent permitted by law, a party (an </w:t>
      </w:r>
      <w:r>
        <w:rPr>
          <w:i/>
          <w:iCs/>
        </w:rPr>
        <w:t>"Indemnifying Party"</w:t>
      </w:r>
      <w:r>
        <w:rPr/>
        <w:t xml:space="preserve">) shall indemnify the other party, and such party's officers, directors,  employees, agents and controlling Persons (each, an </w:t>
      </w:r>
      <w:r>
        <w:rPr>
          <w:rFonts w:cs="WP TypographicSymbols" w:ascii="WP TypographicSymbols" w:hAnsi="WP TypographicSymbols"/>
          <w:i/>
          <w:iCs/>
        </w:rPr>
        <w:t>A</w:t>
      </w:r>
      <w:r>
        <w:rPr>
          <w:i/>
          <w:iCs/>
        </w:rPr>
        <w:t>Indemnified Person</w:t>
      </w:r>
      <w:r>
        <w:rPr>
          <w:rFonts w:cs="WP TypographicSymbols" w:ascii="WP TypographicSymbols" w:hAnsi="WP TypographicSymbols"/>
          <w:i/>
          <w:iCs/>
        </w:rPr>
        <w:t>@</w:t>
      </w:r>
      <w:r>
        <w:rPr/>
        <w:t xml:space="preserve">), on request by the Indemnified Person, and hold each of them harmless from and against all losses, costs, liabilities, damages and expenses (including reasonable costs of suit and attorney's fees, but subject to </w:t>
      </w:r>
      <w:r>
        <w:rPr>
          <w:u w:val="single"/>
        </w:rPr>
        <w:t>Section 12(c)</w:t>
      </w:r>
      <w:r>
        <w:rPr/>
        <w:t xml:space="preserve">) any of them may incur as a result of (i) the Indemnifying Party's failure to perform any of its obligations hereunder; (ii) a breach of any representation or warranty of the Indemnifying Party; (iii) a failure of the Indemnifying Party to perform any obligation arising under any Executed Transaction; (iv) any Claim against Enron in connection with a Proposed Transaction that is not an Executed Transaction pursuant to the terms of this Agreement, and (v) any faulty or incorrect data or information transmitted to the other party hereunder; </w:t>
      </w:r>
      <w:r>
        <w:rPr>
          <w:b/>
          <w:bCs/>
        </w:rPr>
        <w:t>INCLUDING ANY MATTER ARISING OUT OF OR RESULTING FROM THE  INDEMNIFIED PERSON'S OWN SIMPLE, PARTIAL, OR CONCURRENT NEGLIGENCE</w:t>
      </w:r>
      <w:r>
        <w:rPr/>
        <w:t xml:space="preserve">, except for any such loss, cost, liability, damage or expense primarily attributable to the Indemnified Person's breach of this Agreement, reckless disregard, gross negligence, willful misconduct, fraud or material breach of this Agreement.  If an Indemnified Person becomes involved in any action, proceeding or investigation with respect to which indemnity may be available under this </w:t>
      </w:r>
      <w:r>
        <w:rPr>
          <w:u w:val="single"/>
        </w:rPr>
        <w:t>Section 12</w:t>
      </w:r>
      <w:r>
        <w:rPr/>
        <w:t xml:space="preserve">, the Indemnifying Party may reimburse the Indemnified Person for its reasonable legal and other expenses (including the cost of investigation and preparation) as they are incurred; </w:t>
      </w:r>
      <w:r>
        <w:rPr>
          <w:u w:val="single"/>
        </w:rPr>
        <w:t>provided, that</w:t>
      </w:r>
      <w:r>
        <w:rPr/>
        <w:t xml:space="preserve"> the Indemnified Person shall promptly repay to the Indemnifying Party the amount of any such expense paid if it is ultimately determined that the Indemnified Person was not entitled to indemnification hereunder.  Any amounts payable in respect of indemnification hereunder shall be recoverable only from the assets of the Indemnifying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t>Promptly after re</w:t>
        <w:softHyphen/>
        <w:t>ceipt by an Indemnified Person of notice of any claim or the commencement of any ac</w:t>
        <w:softHyphen/>
        <w:t xml:space="preserve">tion with respect to which indemnity may be available under this </w:t>
      </w:r>
      <w:r>
        <w:rPr>
          <w:u w:val="single"/>
        </w:rPr>
        <w:t>Section 12</w:t>
      </w:r>
      <w:r>
        <w:rPr/>
        <w:t xml:space="preserve">, the Indemnified Person shall, if a claim in respect thereof is to be made against the Indemnifying Party under this </w:t>
      </w:r>
      <w:r>
        <w:rPr>
          <w:u w:val="single"/>
        </w:rPr>
        <w:t>Section 12</w:t>
      </w:r>
      <w:r>
        <w:rPr/>
        <w:t xml:space="preserve">, notify the Indemnifying Party in writing of the claim or the commencement of the action; </w:t>
      </w:r>
      <w:r>
        <w:rPr>
          <w:u w:val="single"/>
        </w:rPr>
        <w:t>provided, that</w:t>
      </w:r>
      <w:r>
        <w:rPr/>
        <w:t xml:space="preserve"> the failure to notify the Indemnifying Party shall not relieve it from any liability which it may have to an Indemni</w:t>
        <w:softHyphen/>
        <w:t xml:space="preserve">fied Person other than under this </w:t>
      </w:r>
      <w:r>
        <w:rPr>
          <w:u w:val="single"/>
        </w:rPr>
        <w:t>Section 12</w:t>
      </w:r>
      <w:r>
        <w:rPr/>
        <w:t xml:space="preserve"> except to the extent that the Indemnifying Party is prejudiced thereby.  If any such claim or action shall be brought against an Indemnified Person, and it shall notify the Indemnifying Party thereof, the Indemnifying Party shall be entitled to participate therein, and, to the extent that it wishes, to assume the defense thereof with counsel reasonably satisfactory to the Indemnified Person.  After notice from the Indemnifying Party to the Indemnified Person of its election to assume the defense of such claim or action, the Indemnifying Party shall not be liable to the Indemnified Person under this Section  for any legal or other expenses subsequently incurred by the Indemnified Person in connection with the defense thereof; </w:t>
      </w:r>
      <w:r>
        <w:rPr>
          <w:u w:val="single"/>
        </w:rPr>
        <w:t>provided, that</w:t>
      </w:r>
      <w:r>
        <w:rPr/>
        <w:t xml:space="preserve"> all of the Indemnified Persons shall have the right to employ one counsel to represent them if, in the opinion of counsel to the Indemnified Persons (which, in the case of Investor, may be its internal counsel), there are available to them defenses not available to the Indemnifying Party and in that event the fees and expenses of such sepa</w:t>
        <w:softHyphen/>
        <w:t>rate counsel shall be paid by the Indemnifying Party.  In no event shall the Indemnifying Party be required to indemnify an Indemnified Person with respect to amounts paid in settlement of a claim unless such claim was settled with the consent of the Indemnifying Party.</w:t>
      </w:r>
    </w:p>
    <w:p>
      <w:pPr>
        <w:pStyle w:val="Normal"/>
        <w:rPr/>
      </w:pPr>
      <w:r>
        <w:rPr/>
      </w:r>
    </w:p>
    <w:p>
      <w:pPr>
        <w:pStyle w:val="BodyText"/>
        <w:tabs>
          <w:tab w:val="clear" w:pos="720"/>
          <w:tab w:val="left" w:pos="1440" w:leader="none"/>
          <w:tab w:val="left" w:pos="8640" w:leader="none"/>
        </w:tabs>
        <w:ind w:firstLine="720" w:end="0"/>
        <w:jc w:val="both"/>
        <w:rPr/>
      </w:pPr>
      <w:r>
        <w:rPr>
          <w:iCs/>
        </w:rPr>
        <w:t>(c</w:t>
      </w:r>
      <w:r>
        <w:rPr/>
        <w:t>)</w:t>
        <w:tab/>
        <w:t>Except as expressly provided in this Agreement, neither party makes any representation or warranty hereunder, express or implied.  IN NO EVENT WILL EITHER PARTY OR ITS AFFILIATES BE LIABLE TO THE OTHER PARTY OR ITS AFFILIATES HEREUNDER FOR ANY SPECIAL, INDIRECT, INCIDENTAL, PUNITIVE OR CONSEQUENTIAL DAMAGES (INCLUDING BUT NOT LIMITED TO DAMAGES FOR LOST REVENUES, PROFITS, BUSINESS OR OTHER BENEFITS) INCURRED IN CONNECTION WITH THE SERVICES TO BE PROVIDED HEREUNDER, THE OBLIGATIONS INCURRED HEREUNDER, IN RESPECT OF ANY CLAIM FOR BREACH OF CONTRACT, INDEMNITY OR ANY OTHER THEORY OF LIABILITY ARISING OUT OF OR RELATING TO THIS AGREEMENT OR ANY OF THE TRANSACTIONS CONTEMPLATED HEREBY, OR IN RESPECT OF ANY ACT, OMISSION OR EVENT OCCURRING IN CONNECTION HEREWITH, AND EACH PARTY WHO IS PRECLUDED FROM MAKING ANY SUCH CLAIM FOR SUCH DAMAGES HEREBY WAIVES, RELEASES AND AGREES NOT TO SUE UPON ANY CLAIM FOR SUCH DAMAGES .</w:t>
      </w:r>
    </w:p>
    <w:p>
      <w:pPr>
        <w:pStyle w:val="BodyText"/>
        <w:tabs>
          <w:tab w:val="clear" w:pos="720"/>
          <w:tab w:val="left" w:pos="1440" w:leader="none"/>
          <w:tab w:val="left" w:pos="8640" w:leader="none"/>
        </w:tabs>
        <w:ind w:firstLine="720" w:end="0"/>
        <w:jc w:val="both"/>
        <w:rPr/>
      </w:pPr>
      <w:r>
        <w:rPr/>
        <w:t>13.</w:t>
        <w:tab/>
      </w:r>
      <w:r>
        <w:rPr>
          <w:b/>
          <w:u w:val="single"/>
        </w:rPr>
        <w:t>Notices.</w:t>
      </w:r>
      <w:r>
        <w:rPr/>
        <w:t xml:space="preserve">  All notices delivered with respect to this Agreement shall be in writing, and shall be hand deliv</w:t>
        <w:softHyphen/>
        <w:t>ered, forwarded by registered or certified mail, or sent via facsimile to the parties hereto in accordance with the instructions set forth on the signature pages hereto, or to any other instructions subsequently specified in by a party in a written notice to the other party hereto.</w:t>
      </w:r>
    </w:p>
    <w:p>
      <w:pPr>
        <w:pStyle w:val="BodyText"/>
        <w:tabs>
          <w:tab w:val="clear" w:pos="720"/>
          <w:tab w:val="left" w:pos="1440" w:leader="none"/>
          <w:tab w:val="left" w:pos="8640" w:leader="none"/>
        </w:tabs>
        <w:ind w:firstLine="720" w:end="0"/>
        <w:jc w:val="both"/>
        <w:rPr/>
      </w:pPr>
      <w:r>
        <w:rPr/>
        <w:t>14.</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Neither this Agreement nor the performance hereunder shall be deemed to have created a partnership, agency agreement or joint venture.</w:t>
      </w:r>
    </w:p>
    <w:p>
      <w:pPr>
        <w:pStyle w:val="BodyText"/>
        <w:tabs>
          <w:tab w:val="clear" w:pos="720"/>
          <w:tab w:val="left" w:pos="1440" w:leader="none"/>
          <w:tab w:val="left" w:pos="8640" w:leader="none"/>
        </w:tabs>
        <w:ind w:firstLine="720" w:end="0"/>
        <w:jc w:val="both"/>
        <w:rPr/>
      </w:pPr>
      <w:r>
        <w:rPr/>
        <w:t>15.</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p>
    <w:p>
      <w:pPr>
        <w:pStyle w:val="BodyText"/>
        <w:tabs>
          <w:tab w:val="clear" w:pos="720"/>
          <w:tab w:val="left" w:pos="1440" w:leader="none"/>
          <w:tab w:val="left" w:pos="8640" w:leader="none"/>
        </w:tabs>
        <w:ind w:firstLine="720" w:end="0"/>
        <w:jc w:val="both"/>
        <w:rPr/>
      </w:pPr>
      <w:r>
        <w:rPr/>
        <w:t>16.</w:t>
        <w:tab/>
      </w:r>
      <w:r>
        <w:rPr>
          <w:b/>
          <w:u w:val="single"/>
        </w:rPr>
        <w:t>Assignment and Delegation.</w:t>
      </w:r>
    </w:p>
    <w:p>
      <w:pPr>
        <w:pStyle w:val="BodyText"/>
        <w:tabs>
          <w:tab w:val="clear" w:pos="720"/>
          <w:tab w:val="left" w:pos="1440" w:leader="none"/>
          <w:tab w:val="left" w:pos="8640" w:leader="none"/>
        </w:tabs>
        <w:ind w:firstLine="720" w:end="0"/>
        <w:jc w:val="both"/>
        <w:rPr/>
      </w:pPr>
      <w:r>
        <w:rPr>
          <w:bCs/>
        </w:rPr>
        <w:t>(a)</w:t>
        <w:tab/>
      </w:r>
      <w:r>
        <w:rPr/>
        <w:t xml:space="preserve">Except as expressly provided in </w:t>
      </w:r>
      <w:r>
        <w:rPr>
          <w:u w:val="single"/>
        </w:rPr>
        <w:t>Section 16(b)</w:t>
      </w:r>
      <w:r>
        <w:rPr/>
        <w:t>, this Agreement may not be assigned by either party (except to an Affiliate of a party) without the other party's express prior written consent.  This Agreement shall be binding upon and shall inure to the benefit of the parties and their respective succes</w:t>
        <w:softHyphen/>
        <w:t xml:space="preserve">sors and permitted assigns in accordance with its terms. </w:t>
      </w:r>
    </w:p>
    <w:p>
      <w:pPr>
        <w:pStyle w:val="BodyText"/>
        <w:tabs>
          <w:tab w:val="clear" w:pos="720"/>
          <w:tab w:val="left" w:pos="1440" w:leader="none"/>
          <w:tab w:val="left" w:pos="8640" w:leader="none"/>
        </w:tabs>
        <w:ind w:firstLine="720" w:end="0"/>
        <w:jc w:val="both"/>
        <w:rPr/>
      </w:pPr>
      <w:r>
        <w:rPr/>
        <w:t>(b)</w:t>
        <w:tab/>
        <w:t xml:space="preserve">Certain Affiliates of Enron currently, or may in the future, own and/or operate the Enron Platform, may be the buyer or seller of Specified Products, and may be responsible in whole or in part for the performance of Enron's obligations under this Agreement.  Enron may delegate or assign this Agreement, in whole or in part, to such Affiliates, and Sponsor agrees to accept performance of such portions of this Agreement that are assigned or delegated; notwithstanding the foregoing, however, no such delegation or assignment of any portion of this Agreement shall be deemed to relieve Enron of its obligations hereunder for that portion of this Agreement that is so delegated or assigned. </w:t>
      </w:r>
    </w:p>
    <w:p>
      <w:pPr>
        <w:pStyle w:val="BodyText"/>
        <w:tabs>
          <w:tab w:val="clear" w:pos="720"/>
          <w:tab w:val="left" w:pos="1440" w:leader="none"/>
          <w:tab w:val="left" w:pos="8640" w:leader="none"/>
        </w:tabs>
        <w:ind w:firstLine="720" w:end="0"/>
        <w:jc w:val="both"/>
        <w:rPr/>
      </w:pPr>
      <w:r>
        <w:rPr/>
        <w:t>17.</w:t>
        <w:tab/>
      </w:r>
      <w:r>
        <w:rPr>
          <w:b/>
          <w:u w:val="single"/>
        </w:rPr>
        <w:t>Entire Agreement</w:t>
      </w:r>
      <w:r>
        <w:rPr>
          <w:b/>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Sponsor Platform. To the extent that the terms and conditions of this Agreement are inconsistent or conflict with any other agreement or understanding with the Sponsor, including but not limited to the Access Agreements, the terms of this Agreement shall govern.</w:t>
      </w:r>
    </w:p>
    <w:p>
      <w:pPr>
        <w:pStyle w:val="BodyText"/>
        <w:tabs>
          <w:tab w:val="clear" w:pos="720"/>
          <w:tab w:val="left" w:pos="1440" w:leader="none"/>
          <w:tab w:val="left" w:pos="8640" w:leader="none"/>
        </w:tabs>
        <w:ind w:firstLine="720" w:end="0"/>
        <w:jc w:val="both"/>
        <w:rPr/>
      </w:pPr>
      <w:r>
        <w:rPr/>
        <w:t>18.</w:t>
        <w:tab/>
      </w:r>
      <w:r>
        <w:rPr>
          <w:b/>
          <w:u w:val="single"/>
        </w:rPr>
        <w:t>Governing Law and Dispute Resolution</w:t>
      </w:r>
      <w:r>
        <w:rPr>
          <w:b/>
        </w:rPr>
        <w:t>.</w:t>
      </w:r>
    </w:p>
    <w:p>
      <w:pPr>
        <w:pStyle w:val="Normal"/>
        <w:tabs>
          <w:tab w:val="clear" w:pos="720"/>
          <w:tab w:val="left" w:pos="1440" w:leader="none"/>
          <w:tab w:val="left" w:pos="8640" w:leader="none"/>
        </w:tabs>
        <w:ind w:firstLine="720" w:end="0"/>
        <w:jc w:val="both"/>
        <w:rPr/>
      </w:pPr>
      <w:r>
        <w:rPr/>
        <w:t>(a)</w:t>
        <w:tab/>
        <w:t>This Agreement is deemed entered into in New York, New York and shall be governed and construed in all respects by the laws of the State of New York (the "Governing Law"), without giving effect to principles of conflict of law.</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(b)(i)</w:t>
        <w:tab/>
      </w:r>
      <w:r>
        <w:rPr>
          <w:bCs/>
          <w:i/>
          <w:iCs/>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bCs/>
        </w:rPr>
        <w:t xml:space="preserve">(ii)  </w:t>
      </w:r>
      <w:r>
        <w:rPr>
          <w:bCs/>
          <w:i/>
          <w:iCs/>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bCs/>
        </w:rPr>
        <w:t xml:space="preserve">(iii)  </w:t>
      </w:r>
      <w:r>
        <w:rPr>
          <w:bCs/>
          <w:i/>
          <w:iCs/>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bCs/>
        </w:rPr>
        <w:t xml:space="preserve">(iv)  </w:t>
      </w:r>
      <w:r>
        <w:rPr>
          <w:bCs/>
          <w:i/>
          <w:iCs/>
        </w:rPr>
        <w:t xml:space="preserve">Confidentiality: </w:t>
      </w:r>
      <w:r>
        <w:rPr/>
        <w:t xml:space="preserve"> To the fullest extent permitted by law, any arbitration proceeding and the arbitrator’s award shall be maintained in confidence by the parties.</w:t>
      </w:r>
    </w:p>
    <w:p>
      <w:pPr>
        <w:pStyle w:val="BodyText"/>
        <w:tabs>
          <w:tab w:val="clear" w:pos="720"/>
          <w:tab w:val="left" w:pos="1440" w:leader="none"/>
          <w:tab w:val="left" w:pos="8640" w:leader="none"/>
        </w:tabs>
        <w:ind w:firstLine="720" w:end="0"/>
        <w:jc w:val="both"/>
        <w:rPr/>
      </w:pPr>
      <w:r>
        <w:rPr/>
        <w:t>19.</w:t>
        <w:tab/>
      </w:r>
      <w:r>
        <w:rPr>
          <w:b/>
          <w:u w:val="single"/>
        </w:rPr>
        <w:t>Headings</w:t>
      </w:r>
      <w:r>
        <w:rPr>
          <w:b/>
        </w:rPr>
        <w:t xml:space="preserve">.  </w:t>
      </w:r>
      <w:r>
        <w:rPr/>
        <w:t>The headings in this Agreement are intended for convenience of reference and shall not affect its interpreta</w:t>
        <w:softHyphen/>
        <w:t>tion.</w:t>
      </w:r>
    </w:p>
    <w:p>
      <w:pPr>
        <w:pStyle w:val="BodyText"/>
        <w:tabs>
          <w:tab w:val="clear" w:pos="720"/>
          <w:tab w:val="left" w:pos="1440" w:leader="none"/>
          <w:tab w:val="left" w:pos="8640" w:leader="none"/>
        </w:tabs>
        <w:ind w:firstLine="720" w:end="0"/>
        <w:jc w:val="both"/>
        <w:rPr/>
      </w:pPr>
      <w:r>
        <w:rPr/>
        <w:t>20.</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tabs>
          <w:tab w:val="clear" w:pos="720"/>
          <w:tab w:val="left" w:pos="1440" w:leader="none"/>
          <w:tab w:val="left" w:pos="8640" w:leader="none"/>
        </w:tabs>
        <w:ind w:firstLine="720" w:end="0"/>
        <w:jc w:val="both"/>
        <w:rPr/>
      </w:pPr>
      <w:r>
        <w:rPr/>
        <w:t>21.</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r>
        <w:br w:type="page"/>
      </w:r>
    </w:p>
    <w:p>
      <w:pPr>
        <w:pStyle w:val="BodyText"/>
        <w:tabs>
          <w:tab w:val="clear" w:pos="720"/>
          <w:tab w:val="left" w:pos="1440" w:leader="none"/>
          <w:tab w:val="left" w:pos="8640" w:leader="none"/>
        </w:tabs>
        <w:ind w:firstLine="720" w:end="0"/>
        <w:jc w:val="both"/>
        <w:rPr/>
      </w:pPr>
      <w:r>
        <w:rPr>
          <w:b/>
          <w:bCs/>
        </w:rPr>
        <w:t>IN WITNESS WHEREOF,</w:t>
      </w:r>
      <w:r>
        <w:rPr/>
        <w:t xml:space="preserve"> the parties have executed this Agreement as of the date first above written.</w:t>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start="4320" w:end="0"/>
        <w:jc w:val="both"/>
        <w:rPr>
          <w:b/>
          <w:bCs/>
        </w:rPr>
      </w:pPr>
      <w:r>
        <w:rPr>
          <w:b/>
          <w:bCs/>
        </w:rPr>
        <w:t>ENRON NET WORKS LLC</w:t>
      </w:r>
    </w:p>
    <w:p>
      <w:pPr>
        <w:pStyle w:val="BodyText"/>
        <w:tabs>
          <w:tab w:val="clear" w:pos="720"/>
          <w:tab w:val="left" w:pos="8640" w:leader="none"/>
        </w:tabs>
        <w:ind w:firstLine="720" w:start="4320" w:end="0"/>
        <w:jc w:val="both"/>
        <w:rPr>
          <w:b/>
          <w:bCs/>
        </w:rPr>
      </w:pPr>
      <w:r>
        <w:rPr>
          <w:b/>
          <w:bCs/>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b/>
          <w:bCs/>
        </w:rPr>
      </w:pPr>
      <w:r>
        <w:rPr>
          <w:b/>
          <w:bCs/>
        </w:rPr>
        <w:t>[SPONSOR]</w:t>
      </w:r>
    </w:p>
    <w:p>
      <w:pPr>
        <w:pStyle w:val="BodyText"/>
        <w:tabs>
          <w:tab w:val="clear" w:pos="720"/>
          <w:tab w:val="left" w:pos="8640" w:leader="none"/>
        </w:tabs>
        <w:ind w:firstLine="720" w:start="4320" w:end="0"/>
        <w:jc w:val="both"/>
        <w:rPr>
          <w:b/>
          <w:bCs/>
          <w:u w:val="single"/>
        </w:rPr>
      </w:pPr>
      <w:r>
        <w:rPr>
          <w:b/>
          <w:bCs/>
          <w:u w:val="single"/>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u w:val="single"/>
        </w:rPr>
      </w:pPr>
      <w:r>
        <w:rPr/>
        <w:tab/>
        <w:tab/>
        <w:tab/>
        <w:tab/>
        <w:tab/>
      </w:r>
    </w:p>
    <w:p>
      <w:pPr>
        <w:pStyle w:val="BodyText"/>
        <w:tabs>
          <w:tab w:val="clear" w:pos="720"/>
          <w:tab w:val="left" w:pos="8640" w:leader="none"/>
        </w:tabs>
        <w:ind w:firstLine="720" w:start="4320" w:end="0"/>
        <w:jc w:val="both"/>
        <w:rPr/>
      </w:pPr>
      <w:r>
        <w:rPr/>
        <w:tab/>
        <w:tab/>
        <w:tab/>
        <w:tab/>
        <w:tab/>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strike/>
        </w:rPr>
      </w:pPr>
      <w:r>
        <w:rPr>
          <w:strike/>
        </w:rPr>
      </w:r>
    </w:p>
    <w:p>
      <w:pPr>
        <w:pStyle w:val="Normal"/>
        <w:tabs>
          <w:tab w:val="clear" w:pos="720"/>
          <w:tab w:val="left" w:pos="8640" w:leader="none"/>
        </w:tabs>
        <w:autoSpaceDE w:val="false"/>
        <w:spacing w:lineRule="atLeast" w:line="240"/>
        <w:rPr>
          <w:strike/>
        </w:rPr>
      </w:pPr>
      <w:r>
        <w:rPr>
          <w:strike/>
        </w:rPr>
      </w:r>
      <w:r>
        <w:br w:type="page"/>
      </w:r>
    </w:p>
    <w:p>
      <w:pPr>
        <w:pStyle w:val="Normal"/>
        <w:tabs>
          <w:tab w:val="clear" w:pos="720"/>
          <w:tab w:val="left" w:pos="8640" w:leader="none"/>
        </w:tabs>
        <w:autoSpaceDE w:val="false"/>
        <w:spacing w:lineRule="atLeast" w:line="240"/>
        <w:jc w:val="center"/>
        <w:rPr>
          <w:color w:val="000000"/>
        </w:rPr>
      </w:pPr>
      <w:r>
        <w:rPr>
          <w:color w:val="000000"/>
          <w:u w:val="single"/>
        </w:rPr>
        <w:t>SCHEDULE A</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jc w:val="center"/>
        <w:rPr>
          <w:color w:val="000000"/>
        </w:rPr>
      </w:pPr>
      <w:r>
        <w:rPr>
          <w:color w:val="000000"/>
        </w:rPr>
        <w:t>Specified Products</w:t>
      </w:r>
    </w:p>
    <w:p>
      <w:pPr>
        <w:pStyle w:val="Normal"/>
        <w:tabs>
          <w:tab w:val="clear" w:pos="720"/>
          <w:tab w:val="left" w:pos="8640" w:leader="none"/>
        </w:tabs>
        <w:autoSpaceDE w:val="false"/>
        <w:spacing w:lineRule="atLeast" w:line="240"/>
        <w:jc w:val="center"/>
        <w:rPr>
          <w:color w:val="000000"/>
        </w:rPr>
      </w:pPr>
      <w:r>
        <w:rPr>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rPr>
          <w:color w:val="000000"/>
        </w:rPr>
      </w:pPr>
      <w:r>
        <w:rPr>
          <w:color w:val="000000"/>
        </w:rPr>
      </w:r>
      <w:r>
        <w:br w:type="page"/>
      </w:r>
    </w:p>
    <w:p>
      <w:pPr>
        <w:pStyle w:val="Normal"/>
        <w:jc w:val="center"/>
        <w:rPr>
          <w:b/>
          <w:bCs/>
        </w:rPr>
      </w:pPr>
      <w:r>
        <w:rPr>
          <w:b/>
          <w:bCs/>
        </w:rPr>
        <w:t>EXHIBIT A</w:t>
      </w:r>
    </w:p>
    <w:p>
      <w:pPr>
        <w:pStyle w:val="Normal"/>
        <w:jc w:val="center"/>
        <w:rPr>
          <w:b/>
          <w:bCs/>
        </w:rPr>
      </w:pPr>
      <w:r>
        <w:rPr>
          <w:b/>
          <w:bCs/>
        </w:rPr>
        <w:t>ENRON PRICE INTERFACE</w:t>
      </w:r>
    </w:p>
    <w:p>
      <w:pPr>
        <w:pStyle w:val="Normal"/>
        <w:jc w:val="center"/>
        <w:rPr>
          <w:b/>
          <w:bCs/>
        </w:rPr>
      </w:pPr>
      <w:r>
        <w:rPr>
          <w:b/>
          <w:bCs/>
        </w:rPr>
      </w:r>
    </w:p>
    <w:p>
      <w:pPr>
        <w:pStyle w:val="Normal"/>
        <w:jc w:val="center"/>
        <w:rPr>
          <w:b/>
          <w:bCs/>
          <w:i/>
          <w:i/>
          <w:iCs/>
        </w:rPr>
      </w:pPr>
      <w:r>
        <w:rPr>
          <w:b/>
          <w:bCs/>
          <w:i/>
          <w:iCs/>
        </w:rPr>
      </w:r>
    </w:p>
    <w:p>
      <w:pPr>
        <w:pStyle w:val="Normal"/>
        <w:jc w:val="center"/>
        <w:rPr>
          <w:u w:val="single"/>
        </w:rPr>
      </w:pPr>
      <w:r>
        <w:rPr>
          <w:u w:val="single"/>
        </w:rPr>
        <w:t>Enron Price Interface</w:t>
      </w:r>
    </w:p>
    <w:p>
      <w:pPr>
        <w:pStyle w:val="Normal"/>
        <w:rPr>
          <w:u w:val="single"/>
        </w:rPr>
      </w:pPr>
      <w:r>
        <w:rPr>
          <w:u w:val="single"/>
        </w:rPr>
      </w:r>
    </w:p>
    <w:p>
      <w:pPr>
        <w:pStyle w:val="Normal"/>
        <w:numPr>
          <w:ilvl w:val="0"/>
          <w:numId w:val="0"/>
        </w:numPr>
        <w:ind w:start="720" w:end="0"/>
        <w:outlineLvl w:val="0"/>
        <w:rPr/>
      </w:pPr>
      <w:r>
        <w:rPr/>
        <w:t>Purpose:</w:t>
        <w:tab/>
        <w:tab/>
        <w:t>This interface enables Enron to post prices on the sponsor’s platform</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t xml:space="preserve"> </w:t>
      </w:r>
      <w:r>
        <w:rPr/>
        <w:t>By Enron</w:t>
      </w:r>
    </w:p>
    <w:p>
      <w:pPr>
        <w:pStyle w:val="Normal"/>
        <w:ind w:firstLine="720" w:start="720" w:end="0"/>
        <w:rPr/>
      </w:pPr>
      <w:r>
        <w:rPr/>
      </w:r>
    </w:p>
    <w:p>
      <w:pPr>
        <w:pStyle w:val="Normal"/>
        <w:numPr>
          <w:ilvl w:val="0"/>
          <w:numId w:val="5"/>
        </w:numPr>
        <w:tabs>
          <w:tab w:val="clear" w:pos="720"/>
          <w:tab w:val="left" w:pos="3384" w:leader="none"/>
        </w:tabs>
        <w:ind w:hanging="504" w:start="3384" w:end="0"/>
        <w:rPr/>
      </w:pPr>
      <w:r>
        <w:rPr/>
        <w:t>Product ID Number (Enron’s ID)</w:t>
      </w:r>
    </w:p>
    <w:p>
      <w:pPr>
        <w:pStyle w:val="Normal"/>
        <w:numPr>
          <w:ilvl w:val="0"/>
          <w:numId w:val="5"/>
        </w:numPr>
        <w:tabs>
          <w:tab w:val="clear" w:pos="720"/>
          <w:tab w:val="left" w:pos="3384" w:leader="none"/>
        </w:tabs>
        <w:ind w:hanging="504" w:start="3384" w:end="0"/>
        <w:rPr/>
      </w:pPr>
      <w:r>
        <w:rPr/>
        <w:t>Status (active or dead)</w:t>
      </w:r>
    </w:p>
    <w:p>
      <w:pPr>
        <w:pStyle w:val="Normal"/>
        <w:numPr>
          <w:ilvl w:val="0"/>
          <w:numId w:val="5"/>
        </w:numPr>
        <w:tabs>
          <w:tab w:val="clear" w:pos="720"/>
          <w:tab w:val="left" w:pos="3384" w:leader="none"/>
        </w:tabs>
        <w:ind w:hanging="504" w:start="3384" w:end="0"/>
        <w:rPr/>
      </w:pPr>
      <w:r>
        <w:rPr/>
        <w:t>Bid price</w:t>
      </w:r>
    </w:p>
    <w:p>
      <w:pPr>
        <w:pStyle w:val="Normal"/>
        <w:numPr>
          <w:ilvl w:val="0"/>
          <w:numId w:val="5"/>
        </w:numPr>
        <w:tabs>
          <w:tab w:val="clear" w:pos="720"/>
          <w:tab w:val="left" w:pos="3384" w:leader="none"/>
        </w:tabs>
        <w:ind w:hanging="504" w:start="3384" w:end="0"/>
        <w:rPr/>
      </w:pPr>
      <w:r>
        <w:rPr/>
        <w:t>Offer price</w:t>
      </w:r>
    </w:p>
    <w:p>
      <w:pPr>
        <w:pStyle w:val="Normal"/>
        <w:numPr>
          <w:ilvl w:val="0"/>
          <w:numId w:val="5"/>
        </w:numPr>
        <w:tabs>
          <w:tab w:val="clear" w:pos="720"/>
          <w:tab w:val="left" w:pos="3384" w:leader="none"/>
        </w:tabs>
        <w:ind w:hanging="504" w:start="3384" w:end="0"/>
        <w:rPr/>
      </w:pPr>
      <w:r>
        <w:rPr/>
        <w:t>Bid Volume</w:t>
      </w:r>
    </w:p>
    <w:p>
      <w:pPr>
        <w:pStyle w:val="Normal"/>
        <w:numPr>
          <w:ilvl w:val="0"/>
          <w:numId w:val="5"/>
        </w:numPr>
        <w:tabs>
          <w:tab w:val="clear" w:pos="720"/>
          <w:tab w:val="left" w:pos="3384" w:leader="none"/>
        </w:tabs>
        <w:ind w:hanging="504" w:start="3384" w:end="0"/>
        <w:rPr/>
      </w:pPr>
      <w:r>
        <w:rPr/>
        <w:t>Offer Volume</w:t>
      </w:r>
    </w:p>
    <w:p>
      <w:pPr>
        <w:pStyle w:val="Normal"/>
        <w:numPr>
          <w:ilvl w:val="0"/>
          <w:numId w:val="5"/>
        </w:numPr>
        <w:tabs>
          <w:tab w:val="clear" w:pos="720"/>
          <w:tab w:val="left" w:pos="3384" w:leader="none"/>
        </w:tabs>
        <w:ind w:hanging="504" w:start="3384" w:end="0"/>
        <w:rPr/>
      </w:pPr>
      <w:r>
        <w:rPr/>
        <w:t>Sequence ID (time stamp/integer version)</w:t>
      </w:r>
    </w:p>
    <w:p>
      <w:pPr>
        <w:pStyle w:val="Normal"/>
        <w:rPr/>
      </w:pPr>
      <w:r>
        <w:rPr/>
      </w:r>
    </w:p>
    <w:p>
      <w:pPr>
        <w:pStyle w:val="Normal"/>
        <w:numPr>
          <w:ilvl w:val="0"/>
          <w:numId w:val="0"/>
        </w:numPr>
        <w:ind w:firstLine="720" w:end="0"/>
        <w:outlineLvl w:val="0"/>
        <w:rPr/>
      </w:pPr>
      <w:r>
        <w:rPr/>
        <w:t>Party to specify:</w:t>
        <w:tab/>
        <w:t>Enron</w:t>
      </w:r>
    </w:p>
    <w:p>
      <w:pPr>
        <w:pStyle w:val="Normal"/>
        <w:rPr/>
      </w:pPr>
      <w:r>
        <w:rPr/>
      </w:r>
    </w:p>
    <w:p>
      <w:pPr>
        <w:pStyle w:val="Normal"/>
        <w:ind w:firstLine="720" w:end="0"/>
        <w:rPr/>
      </w:pPr>
      <w:r>
        <w:rPr/>
        <w:t>Party to Build:</w:t>
        <w:tab/>
        <w:tab/>
        <w:t>Sponsor</w:t>
      </w:r>
    </w:p>
    <w:p>
      <w:pPr>
        <w:pStyle w:val="Normal"/>
        <w:rPr/>
      </w:pPr>
      <w:r>
        <w:rPr/>
      </w:r>
    </w:p>
    <w:p>
      <w:pPr>
        <w:pStyle w:val="Normal"/>
        <w:ind w:firstLine="720" w:end="0"/>
        <w:rPr/>
      </w:pPr>
      <w:r>
        <w:rPr/>
        <w:t>Party to Pay:</w:t>
        <w:tab/>
        <w:tab/>
        <w:t>Sponsor</w:t>
      </w:r>
    </w:p>
    <w:p>
      <w:pPr>
        <w:pStyle w:val="Normal"/>
        <w:rPr/>
      </w:pPr>
      <w:r>
        <w:rPr/>
      </w:r>
    </w:p>
    <w:p>
      <w:pPr>
        <w:pStyle w:val="Normal"/>
        <w:rPr/>
      </w:pPr>
      <w:r>
        <w:rPr/>
      </w:r>
      <w:r>
        <w:br w:type="page"/>
      </w:r>
    </w:p>
    <w:p>
      <w:pPr>
        <w:pStyle w:val="Normal"/>
        <w:rPr>
          <w:u w:val="single"/>
        </w:rPr>
      </w:pPr>
      <w:r>
        <w:rPr>
          <w:u w:val="single"/>
        </w:rPr>
      </w:r>
    </w:p>
    <w:p>
      <w:pPr>
        <w:pStyle w:val="Normal"/>
        <w:jc w:val="center"/>
        <w:rPr>
          <w:b/>
          <w:bCs/>
          <w:caps/>
        </w:rPr>
      </w:pPr>
      <w:r>
        <w:rPr>
          <w:b/>
          <w:bCs/>
          <w:caps/>
        </w:rPr>
        <w:t>EXHIBIT B</w:t>
      </w:r>
    </w:p>
    <w:p>
      <w:pPr>
        <w:pStyle w:val="Normal"/>
        <w:jc w:val="center"/>
        <w:rPr>
          <w:b/>
          <w:bCs/>
          <w:caps/>
        </w:rPr>
      </w:pPr>
      <w:r>
        <w:rPr>
          <w:b/>
          <w:bCs/>
          <w:caps/>
        </w:rPr>
        <w:t>Enron Transaction Interface</w:t>
      </w:r>
    </w:p>
    <w:p>
      <w:pPr>
        <w:pStyle w:val="Normal"/>
        <w:rPr>
          <w:b/>
          <w:bCs/>
          <w:caps/>
          <w:u w:val="single"/>
        </w:rPr>
      </w:pPr>
      <w:r>
        <w:rPr>
          <w:b/>
          <w:bCs/>
          <w:caps/>
          <w:u w:val="single"/>
        </w:rPr>
      </w:r>
    </w:p>
    <w:p>
      <w:pPr>
        <w:pStyle w:val="Normal"/>
        <w:ind w:hanging="2160" w:start="2880" w:end="0"/>
        <w:rPr/>
      </w:pPr>
      <w:r>
        <w:rPr/>
        <w:t>Purpose:</w:t>
        <w:tab/>
        <w:t>This interface enables counterparties, through the sponsor’s platform to attempt transactions with Enron.</w:t>
      </w:r>
    </w:p>
    <w:p>
      <w:pPr>
        <w:pStyle w:val="Normal"/>
        <w:ind w:start="720" w:end="0"/>
        <w:rPr/>
      </w:pPr>
      <w:r>
        <w:rPr/>
      </w:r>
    </w:p>
    <w:p>
      <w:pPr>
        <w:pStyle w:val="Normal"/>
        <w:ind w:start="720" w:end="0"/>
        <w:rPr/>
      </w:pPr>
      <w:r>
        <w:rPr/>
      </w:r>
    </w:p>
    <w:p>
      <w:pPr>
        <w:pStyle w:val="Normal"/>
        <w:ind w:start="720" w:end="0"/>
        <w:rPr/>
      </w:pPr>
      <w:r>
        <w:rPr/>
        <w:t>Information</w:t>
      </w:r>
    </w:p>
    <w:p>
      <w:pPr>
        <w:pStyle w:val="Normal"/>
        <w:ind w:start="720" w:end="0"/>
        <w:rPr/>
      </w:pPr>
      <w:r>
        <w:rPr/>
        <w:t>to be sent:</w:t>
        <w:tab/>
        <w:tab/>
        <w:t>By Sponsor:</w:t>
      </w:r>
    </w:p>
    <w:p>
      <w:pPr>
        <w:pStyle w:val="Normal"/>
        <w:ind w:start="720" w:end="0"/>
        <w:rPr/>
      </w:pPr>
      <w:r>
        <w:rPr/>
      </w:r>
    </w:p>
    <w:p>
      <w:pPr>
        <w:pStyle w:val="Normal"/>
        <w:numPr>
          <w:ilvl w:val="0"/>
          <w:numId w:val="6"/>
        </w:numPr>
        <w:tabs>
          <w:tab w:val="clear" w:pos="720"/>
          <w:tab w:val="left" w:pos="3384" w:leader="none"/>
        </w:tabs>
        <w:ind w:hanging="504" w:start="3384" w:end="0"/>
        <w:rPr/>
      </w:pPr>
      <w:r>
        <w:rPr/>
        <w:t>Product ID Number(Enron’s ID)</w:t>
      </w:r>
    </w:p>
    <w:p>
      <w:pPr>
        <w:pStyle w:val="Normal"/>
        <w:numPr>
          <w:ilvl w:val="0"/>
          <w:numId w:val="6"/>
        </w:numPr>
        <w:tabs>
          <w:tab w:val="clear" w:pos="720"/>
          <w:tab w:val="left" w:pos="3384" w:leader="none"/>
        </w:tabs>
        <w:ind w:hanging="504" w:start="3384" w:end="0"/>
        <w:rPr/>
      </w:pPr>
      <w:r>
        <w:rPr/>
        <w:t>Bid or Offer</w:t>
      </w:r>
    </w:p>
    <w:p>
      <w:pPr>
        <w:pStyle w:val="Normal"/>
        <w:numPr>
          <w:ilvl w:val="0"/>
          <w:numId w:val="6"/>
        </w:numPr>
        <w:tabs>
          <w:tab w:val="clear" w:pos="720"/>
          <w:tab w:val="left" w:pos="3384" w:leader="none"/>
        </w:tabs>
        <w:ind w:hanging="504" w:start="3384" w:end="0"/>
        <w:rPr/>
      </w:pPr>
      <w:r>
        <w:rPr/>
        <w:t xml:space="preserve">Volumes </w:t>
      </w:r>
    </w:p>
    <w:p>
      <w:pPr>
        <w:pStyle w:val="Normal"/>
        <w:numPr>
          <w:ilvl w:val="0"/>
          <w:numId w:val="6"/>
        </w:numPr>
        <w:tabs>
          <w:tab w:val="clear" w:pos="720"/>
          <w:tab w:val="left" w:pos="3384" w:leader="none"/>
        </w:tabs>
        <w:ind w:hanging="504" w:start="3384" w:end="0"/>
        <w:rPr/>
      </w:pPr>
      <w:r>
        <w:rPr/>
        <w:t>Price</w:t>
      </w:r>
    </w:p>
    <w:p>
      <w:pPr>
        <w:pStyle w:val="Normal"/>
        <w:numPr>
          <w:ilvl w:val="0"/>
          <w:numId w:val="6"/>
        </w:numPr>
        <w:tabs>
          <w:tab w:val="clear" w:pos="720"/>
          <w:tab w:val="left" w:pos="3384" w:leader="none"/>
        </w:tabs>
        <w:ind w:hanging="504" w:start="3384" w:end="0"/>
        <w:rPr/>
      </w:pPr>
      <w:r>
        <w:rPr/>
        <w:t>Counterparty ID Number(Enron’s ID)</w:t>
      </w:r>
    </w:p>
    <w:p>
      <w:pPr>
        <w:pStyle w:val="Normal"/>
        <w:numPr>
          <w:ilvl w:val="0"/>
          <w:numId w:val="6"/>
        </w:numPr>
        <w:tabs>
          <w:tab w:val="clear" w:pos="720"/>
          <w:tab w:val="left" w:pos="3384" w:leader="none"/>
        </w:tabs>
        <w:ind w:hanging="504" w:start="3384" w:end="0"/>
        <w:rPr/>
      </w:pPr>
      <w:r>
        <w:rPr/>
        <w:t>Sequence ID (integer version)</w:t>
      </w:r>
    </w:p>
    <w:p>
      <w:pPr>
        <w:pStyle w:val="Normal"/>
        <w:numPr>
          <w:ilvl w:val="0"/>
          <w:numId w:val="6"/>
        </w:numPr>
        <w:tabs>
          <w:tab w:val="clear" w:pos="720"/>
          <w:tab w:val="left" w:pos="3384" w:leader="none"/>
        </w:tabs>
        <w:ind w:hanging="504" w:start="3384" w:end="0"/>
        <w:rPr/>
      </w:pPr>
      <w:r>
        <w:rPr/>
        <w:t>Fill or Kill – Option</w:t>
      </w:r>
    </w:p>
    <w:p>
      <w:pPr>
        <w:pStyle w:val="Normal"/>
        <w:numPr>
          <w:ilvl w:val="0"/>
          <w:numId w:val="6"/>
        </w:numPr>
        <w:tabs>
          <w:tab w:val="clear" w:pos="720"/>
          <w:tab w:val="left" w:pos="3384" w:leader="none"/>
        </w:tabs>
        <w:ind w:hanging="504" w:start="3384" w:end="0"/>
        <w:rPr/>
      </w:pPr>
      <w:r>
        <w:rPr/>
        <w:t>Price Range – Option</w:t>
      </w:r>
    </w:p>
    <w:p>
      <w:pPr>
        <w:pStyle w:val="Normal"/>
        <w:numPr>
          <w:ilvl w:val="0"/>
          <w:numId w:val="6"/>
        </w:numPr>
        <w:tabs>
          <w:tab w:val="clear" w:pos="720"/>
          <w:tab w:val="left" w:pos="3384" w:leader="none"/>
        </w:tabs>
        <w:ind w:hanging="504" w:start="3384" w:end="0"/>
        <w:rPr/>
      </w:pPr>
      <w:r>
        <w:rPr/>
        <w:t>Sponsor Transaction ID</w:t>
      </w:r>
    </w:p>
    <w:p>
      <w:pPr>
        <w:pStyle w:val="Normal"/>
        <w:ind w:start="2880" w:end="0"/>
        <w:rPr/>
      </w:pPr>
      <w:r>
        <w:rPr/>
      </w:r>
    </w:p>
    <w:p>
      <w:pPr>
        <w:pStyle w:val="Normal"/>
        <w:ind w:start="2880" w:end="0"/>
        <w:rPr/>
      </w:pPr>
      <w:r>
        <w:rPr/>
      </w:r>
    </w:p>
    <w:p>
      <w:pPr>
        <w:pStyle w:val="Normal"/>
        <w:ind w:start="2880" w:end="0"/>
        <w:rPr/>
      </w:pPr>
      <w:r>
        <w:rPr/>
        <w:t>By Enron:</w:t>
      </w:r>
    </w:p>
    <w:p>
      <w:pPr>
        <w:pStyle w:val="Normal"/>
        <w:ind w:start="2880" w:end="0"/>
        <w:rPr/>
      </w:pPr>
      <w:r>
        <w:rPr/>
      </w:r>
    </w:p>
    <w:p>
      <w:pPr>
        <w:pStyle w:val="Normal"/>
        <w:numPr>
          <w:ilvl w:val="0"/>
          <w:numId w:val="2"/>
        </w:numPr>
        <w:tabs>
          <w:tab w:val="clear" w:pos="720"/>
          <w:tab w:val="left" w:pos="3384" w:leader="none"/>
        </w:tabs>
        <w:ind w:hanging="504" w:start="3384" w:end="0"/>
        <w:rPr/>
      </w:pPr>
      <w:r>
        <w:rPr/>
        <w:t>Transaction detail</w:t>
      </w:r>
    </w:p>
    <w:p>
      <w:pPr>
        <w:pStyle w:val="Normal"/>
        <w:numPr>
          <w:ilvl w:val="0"/>
          <w:numId w:val="2"/>
        </w:numPr>
        <w:tabs>
          <w:tab w:val="clear" w:pos="720"/>
          <w:tab w:val="left" w:pos="3384" w:leader="none"/>
        </w:tabs>
        <w:ind w:hanging="504" w:start="3384" w:end="0"/>
        <w:rPr/>
      </w:pPr>
      <w:r>
        <w:rPr/>
        <w:t>Volume</w:t>
      </w:r>
    </w:p>
    <w:p>
      <w:pPr>
        <w:pStyle w:val="Normal"/>
        <w:numPr>
          <w:ilvl w:val="0"/>
          <w:numId w:val="2"/>
        </w:numPr>
        <w:tabs>
          <w:tab w:val="clear" w:pos="720"/>
          <w:tab w:val="left" w:pos="3384" w:leader="none"/>
        </w:tabs>
        <w:ind w:hanging="504" w:start="3384" w:end="0"/>
        <w:rPr/>
      </w:pPr>
      <w:r>
        <w:rPr/>
        <w:t>Price</w:t>
      </w:r>
    </w:p>
    <w:p>
      <w:pPr>
        <w:pStyle w:val="Normal"/>
        <w:numPr>
          <w:ilvl w:val="0"/>
          <w:numId w:val="2"/>
        </w:numPr>
        <w:tabs>
          <w:tab w:val="clear" w:pos="720"/>
          <w:tab w:val="left" w:pos="3384" w:leader="none"/>
        </w:tabs>
        <w:ind w:hanging="504" w:start="3384" w:end="0"/>
        <w:rPr/>
      </w:pPr>
      <w:r>
        <w:rPr/>
        <w:t>Buy or Sell</w:t>
      </w:r>
    </w:p>
    <w:p>
      <w:pPr>
        <w:pStyle w:val="Normal"/>
        <w:numPr>
          <w:ilvl w:val="0"/>
          <w:numId w:val="2"/>
        </w:numPr>
        <w:tabs>
          <w:tab w:val="clear" w:pos="720"/>
          <w:tab w:val="left" w:pos="3384" w:leader="none"/>
        </w:tabs>
        <w:ind w:hanging="504" w:start="3384" w:end="0"/>
        <w:rPr/>
      </w:pPr>
      <w:r>
        <w:rPr/>
        <w:t>Product ID (Enron’s)</w:t>
      </w:r>
    </w:p>
    <w:p>
      <w:pPr>
        <w:pStyle w:val="Normal"/>
        <w:numPr>
          <w:ilvl w:val="0"/>
          <w:numId w:val="2"/>
        </w:numPr>
        <w:tabs>
          <w:tab w:val="clear" w:pos="720"/>
          <w:tab w:val="left" w:pos="3384" w:leader="none"/>
        </w:tabs>
        <w:ind w:hanging="504" w:start="3384" w:end="0"/>
        <w:rPr/>
      </w:pPr>
      <w:r>
        <w:rPr/>
        <w:t>Counterparty ID (Enron’s)</w:t>
      </w:r>
    </w:p>
    <w:p>
      <w:pPr>
        <w:pStyle w:val="Normal"/>
        <w:numPr>
          <w:ilvl w:val="0"/>
          <w:numId w:val="2"/>
        </w:numPr>
        <w:tabs>
          <w:tab w:val="clear" w:pos="720"/>
          <w:tab w:val="left" w:pos="3384" w:leader="none"/>
        </w:tabs>
        <w:ind w:hanging="504" w:start="3384" w:end="0"/>
        <w:rPr/>
      </w:pPr>
      <w:r>
        <w:rPr/>
        <w:t>Transaction ID (Enron’s)</w:t>
      </w:r>
    </w:p>
    <w:p>
      <w:pPr>
        <w:pStyle w:val="Normal"/>
        <w:numPr>
          <w:ilvl w:val="0"/>
          <w:numId w:val="2"/>
        </w:numPr>
        <w:tabs>
          <w:tab w:val="clear" w:pos="720"/>
          <w:tab w:val="left" w:pos="3384" w:leader="none"/>
        </w:tabs>
        <w:ind w:hanging="504" w:start="3384" w:end="0"/>
        <w:rPr/>
      </w:pPr>
      <w:r>
        <w:rPr/>
        <w:t>Transaction ID (Sponsor’s)</w:t>
      </w:r>
    </w:p>
    <w:p>
      <w:pPr>
        <w:pStyle w:val="Normal"/>
        <w:numPr>
          <w:ilvl w:val="0"/>
          <w:numId w:val="2"/>
        </w:numPr>
        <w:tabs>
          <w:tab w:val="clear" w:pos="720"/>
          <w:tab w:val="left" w:pos="3384" w:leader="none"/>
        </w:tabs>
        <w:ind w:hanging="504" w:start="3384" w:end="0"/>
        <w:rPr/>
      </w:pPr>
      <w:r>
        <w:rPr/>
        <w:t>Success or Failure</w:t>
      </w:r>
    </w:p>
    <w:p>
      <w:pPr>
        <w:pStyle w:val="Normal"/>
        <w:ind w:start="2880" w:end="0"/>
        <w:rPr/>
      </w:pPr>
      <w:r>
        <w:rPr/>
      </w:r>
    </w:p>
    <w:p>
      <w:pPr>
        <w:pStyle w:val="Normal"/>
        <w:ind w:start="2880" w:end="0"/>
        <w:rPr/>
      </w:pPr>
      <w:r>
        <w:rPr/>
      </w:r>
    </w:p>
    <w:p>
      <w:pPr>
        <w:pStyle w:val="Normal"/>
        <w:ind w:firstLine="720" w:end="0"/>
        <w:jc w:val="both"/>
        <w:rPr/>
      </w:pPr>
      <w:r>
        <w:rPr/>
        <w:t>Party to specify:</w:t>
        <w:tab/>
        <w:t>Enron</w:t>
      </w:r>
    </w:p>
    <w:p>
      <w:pPr>
        <w:pStyle w:val="Normal"/>
        <w:ind w:start="720" w:end="0"/>
        <w:jc w:val="both"/>
        <w:rPr/>
      </w:pPr>
      <w:r>
        <w:rPr/>
      </w:r>
    </w:p>
    <w:p>
      <w:pPr>
        <w:pStyle w:val="Normal"/>
        <w:ind w:firstLine="720" w:end="0"/>
        <w:jc w:val="both"/>
        <w:rPr/>
      </w:pPr>
      <w:r>
        <w:rPr/>
        <w:t>Party to Build:</w:t>
        <w:tab/>
        <w:tab/>
        <w:t>Enron</w:t>
      </w:r>
    </w:p>
    <w:p>
      <w:pPr>
        <w:pStyle w:val="Normal"/>
        <w:ind w:firstLine="720" w:start="720" w:end="0"/>
        <w:jc w:val="both"/>
        <w:rPr/>
      </w:pPr>
      <w:r>
        <w:rPr/>
      </w:r>
    </w:p>
    <w:p>
      <w:pPr>
        <w:pStyle w:val="Normal"/>
        <w:ind w:start="720" w:end="0"/>
        <w:jc w:val="both"/>
        <w:rPr/>
      </w:pPr>
      <w:r>
        <w:rPr/>
        <w:t>Party to Pay:</w:t>
        <w:tab/>
        <w:tab/>
        <w:t>Enron</w:t>
      </w:r>
    </w:p>
    <w:p>
      <w:pPr>
        <w:pStyle w:val="Normal"/>
        <w:ind w:start="720" w:end="0"/>
        <w:jc w:val="both"/>
        <w:rPr/>
      </w:pPr>
      <w:r>
        <w:rPr/>
      </w:r>
    </w:p>
    <w:p>
      <w:pPr>
        <w:pStyle w:val="Normal"/>
        <w:ind w:start="720" w:end="0"/>
        <w:jc w:val="both"/>
        <w:rPr/>
      </w:pPr>
      <w:r>
        <w:rPr/>
      </w:r>
      <w:r>
        <w:br w:type="page"/>
      </w:r>
    </w:p>
    <w:p>
      <w:pPr>
        <w:pStyle w:val="Normal"/>
        <w:ind w:start="720" w:end="0"/>
        <w:jc w:val="both"/>
        <w:rPr/>
      </w:pPr>
      <w:r>
        <w:rPr/>
      </w:r>
    </w:p>
    <w:p>
      <w:pPr>
        <w:pStyle w:val="Normal"/>
        <w:jc w:val="center"/>
        <w:rPr>
          <w:b/>
          <w:bCs/>
          <w:caps/>
        </w:rPr>
      </w:pPr>
      <w:r>
        <w:rPr>
          <w:b/>
          <w:bCs/>
          <w:caps/>
        </w:rPr>
        <w:t>EXHIBIT C</w:t>
      </w:r>
    </w:p>
    <w:p>
      <w:pPr>
        <w:pStyle w:val="Normal"/>
        <w:jc w:val="center"/>
        <w:rPr>
          <w:b/>
          <w:bCs/>
          <w:caps/>
        </w:rPr>
      </w:pPr>
      <w:r>
        <w:rPr>
          <w:b/>
          <w:bCs/>
          <w:caps/>
        </w:rPr>
        <w:t>Sponsor Price Interface</w:t>
      </w:r>
    </w:p>
    <w:p>
      <w:pPr>
        <w:pStyle w:val="Normal"/>
        <w:jc w:val="both"/>
        <w:rPr>
          <w:b/>
          <w:bCs/>
          <w:caps/>
          <w:u w:val="single"/>
        </w:rPr>
      </w:pPr>
      <w:r>
        <w:rPr>
          <w:b/>
          <w:bCs/>
          <w:caps/>
          <w:u w:val="single"/>
        </w:rPr>
      </w:r>
    </w:p>
    <w:p>
      <w:pPr>
        <w:pStyle w:val="Normal"/>
        <w:ind w:hanging="2160" w:start="2880" w:end="0"/>
        <w:jc w:val="both"/>
        <w:rPr/>
      </w:pPr>
      <w:r>
        <w:rPr/>
        <w:t>Purpose:</w:t>
        <w:tab/>
        <w:t>This interface enables the sponsor to send Enron the prices/volumes and adequate details to allow Enron to evaluate transactions automatically and propose transactions to the sponsor.</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7"/>
        </w:numPr>
        <w:tabs>
          <w:tab w:val="clear" w:pos="720"/>
          <w:tab w:val="left" w:pos="3384" w:leader="none"/>
        </w:tabs>
        <w:ind w:hanging="504" w:start="3384" w:end="0"/>
        <w:jc w:val="both"/>
        <w:rPr/>
      </w:pPr>
      <w:r>
        <w:rPr/>
        <w:t>Product ID (Enron's)</w:t>
      </w:r>
    </w:p>
    <w:p>
      <w:pPr>
        <w:pStyle w:val="Normal"/>
        <w:numPr>
          <w:ilvl w:val="0"/>
          <w:numId w:val="7"/>
        </w:numPr>
        <w:tabs>
          <w:tab w:val="clear" w:pos="720"/>
          <w:tab w:val="left" w:pos="3384" w:leader="none"/>
        </w:tabs>
        <w:ind w:hanging="504" w:start="3384" w:end="0"/>
        <w:jc w:val="both"/>
        <w:rPr/>
      </w:pPr>
      <w:r>
        <w:rPr/>
        <w:t>Volume on each bid</w:t>
      </w:r>
    </w:p>
    <w:p>
      <w:pPr>
        <w:pStyle w:val="Normal"/>
        <w:numPr>
          <w:ilvl w:val="0"/>
          <w:numId w:val="7"/>
        </w:numPr>
        <w:tabs>
          <w:tab w:val="clear" w:pos="720"/>
          <w:tab w:val="left" w:pos="3384" w:leader="none"/>
        </w:tabs>
        <w:ind w:hanging="504" w:start="3384" w:end="0"/>
        <w:jc w:val="both"/>
        <w:rPr/>
      </w:pPr>
      <w:r>
        <w:rPr/>
        <w:t>Volume on each offer</w:t>
      </w:r>
    </w:p>
    <w:p>
      <w:pPr>
        <w:pStyle w:val="Normal"/>
        <w:numPr>
          <w:ilvl w:val="0"/>
          <w:numId w:val="7"/>
        </w:numPr>
        <w:tabs>
          <w:tab w:val="clear" w:pos="720"/>
          <w:tab w:val="left" w:pos="3384" w:leader="none"/>
        </w:tabs>
        <w:ind w:hanging="504" w:start="3384" w:end="0"/>
        <w:jc w:val="both"/>
        <w:rPr/>
      </w:pPr>
      <w:r>
        <w:rPr/>
        <w:t>Bids</w:t>
      </w:r>
    </w:p>
    <w:p>
      <w:pPr>
        <w:pStyle w:val="Normal"/>
        <w:numPr>
          <w:ilvl w:val="0"/>
          <w:numId w:val="7"/>
        </w:numPr>
        <w:tabs>
          <w:tab w:val="clear" w:pos="720"/>
          <w:tab w:val="left" w:pos="3384" w:leader="none"/>
        </w:tabs>
        <w:ind w:hanging="504" w:start="3384" w:end="0"/>
        <w:jc w:val="both"/>
        <w:rPr/>
      </w:pPr>
      <w:r>
        <w:rPr/>
        <w:t>Offers</w:t>
      </w:r>
    </w:p>
    <w:p>
      <w:pPr>
        <w:pStyle w:val="Normal"/>
        <w:numPr>
          <w:ilvl w:val="0"/>
          <w:numId w:val="7"/>
        </w:numPr>
        <w:tabs>
          <w:tab w:val="clear" w:pos="720"/>
          <w:tab w:val="left" w:pos="3384" w:leader="none"/>
        </w:tabs>
        <w:ind w:hanging="504" w:start="3384" w:end="0"/>
        <w:jc w:val="both"/>
        <w:rPr/>
      </w:pPr>
      <w:r>
        <w:rPr/>
        <w:t>Counterparty ID’s (Enron’s)</w:t>
      </w:r>
    </w:p>
    <w:p>
      <w:pPr>
        <w:pStyle w:val="Normal"/>
        <w:numPr>
          <w:ilvl w:val="0"/>
          <w:numId w:val="7"/>
        </w:numPr>
        <w:tabs>
          <w:tab w:val="clear" w:pos="720"/>
          <w:tab w:val="left" w:pos="3384" w:leader="none"/>
        </w:tabs>
        <w:ind w:hanging="504" w:start="3384" w:end="0"/>
        <w:jc w:val="both"/>
        <w:rPr/>
      </w:pPr>
      <w:r>
        <w:rPr/>
        <w:t>Status</w:t>
      </w:r>
    </w:p>
    <w:p>
      <w:pPr>
        <w:pStyle w:val="Normal"/>
        <w:numPr>
          <w:ilvl w:val="0"/>
          <w:numId w:val="7"/>
        </w:numPr>
        <w:tabs>
          <w:tab w:val="clear" w:pos="720"/>
          <w:tab w:val="left" w:pos="3384" w:leader="none"/>
        </w:tabs>
        <w:ind w:hanging="504" w:start="3384" w:end="0"/>
        <w:jc w:val="both"/>
        <w:rPr/>
      </w:pPr>
      <w:r>
        <w:rPr/>
        <w:t>Sequence ID (timestamp/integer version)</w:t>
      </w:r>
    </w:p>
    <w:p>
      <w:pPr>
        <w:pStyle w:val="Normal"/>
        <w:numPr>
          <w:ilvl w:val="0"/>
          <w:numId w:val="7"/>
        </w:numPr>
        <w:tabs>
          <w:tab w:val="clear" w:pos="720"/>
          <w:tab w:val="left" w:pos="3384" w:leader="none"/>
        </w:tabs>
        <w:ind w:hanging="504" w:start="3384" w:end="0"/>
        <w:jc w:val="both"/>
        <w:rPr/>
      </w:pPr>
      <w:r>
        <w:rPr/>
        <w:t>Record ID</w:t>
      </w:r>
    </w:p>
    <w:p>
      <w:pPr>
        <w:pStyle w:val="Normal"/>
        <w:jc w:val="both"/>
        <w:rPr/>
      </w:pPr>
      <w:r>
        <w:rPr/>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bCs/>
          <w:caps/>
        </w:rPr>
      </w:pPr>
      <w:r>
        <w:rPr>
          <w:b/>
          <w:bCs/>
          <w:caps/>
        </w:rPr>
        <w:t>EXHIBIT D</w:t>
      </w:r>
    </w:p>
    <w:p>
      <w:pPr>
        <w:pStyle w:val="Normal"/>
        <w:jc w:val="center"/>
        <w:rPr>
          <w:b/>
          <w:bCs/>
          <w:caps/>
        </w:rPr>
      </w:pPr>
      <w:r>
        <w:rPr>
          <w:b/>
          <w:bCs/>
          <w:caps/>
        </w:rPr>
        <w:t>Sponsor Transaction Interface</w:t>
      </w:r>
    </w:p>
    <w:p>
      <w:pPr>
        <w:pStyle w:val="Normal"/>
        <w:jc w:val="both"/>
        <w:rPr>
          <w:b/>
          <w:bCs/>
          <w:caps/>
          <w:u w:val="single"/>
        </w:rPr>
      </w:pPr>
      <w:r>
        <w:rPr>
          <w:b/>
          <w:bCs/>
          <w:caps/>
          <w:u w:val="single"/>
        </w:rPr>
      </w:r>
    </w:p>
    <w:p>
      <w:pPr>
        <w:pStyle w:val="Normal"/>
        <w:ind w:hanging="2160" w:start="2880" w:end="0"/>
        <w:jc w:val="both"/>
        <w:rPr/>
      </w:pPr>
      <w:r>
        <w:rPr/>
        <w:t>Purpose:</w:t>
        <w:tab/>
        <w:t>This interface enables Enron to propose transactions to the sponsor’s platform, which then invokes the Enron Transaction interface.</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4"/>
        </w:numPr>
        <w:tabs>
          <w:tab w:val="clear" w:pos="720"/>
          <w:tab w:val="left" w:pos="3384" w:leader="none"/>
        </w:tabs>
        <w:ind w:hanging="504" w:start="3384" w:end="0"/>
        <w:jc w:val="both"/>
        <w:rPr/>
      </w:pPr>
      <w:r>
        <w:rPr/>
        <w:t>Volume</w:t>
      </w:r>
    </w:p>
    <w:p>
      <w:pPr>
        <w:pStyle w:val="Normal"/>
        <w:numPr>
          <w:ilvl w:val="0"/>
          <w:numId w:val="4"/>
        </w:numPr>
        <w:tabs>
          <w:tab w:val="clear" w:pos="720"/>
          <w:tab w:val="left" w:pos="3384" w:leader="none"/>
        </w:tabs>
        <w:ind w:hanging="504" w:start="3384" w:end="0"/>
        <w:jc w:val="both"/>
        <w:rPr/>
      </w:pPr>
      <w:r>
        <w:rPr/>
        <w:t>Price</w:t>
      </w:r>
    </w:p>
    <w:p>
      <w:pPr>
        <w:pStyle w:val="Normal"/>
        <w:numPr>
          <w:ilvl w:val="0"/>
          <w:numId w:val="4"/>
        </w:numPr>
        <w:tabs>
          <w:tab w:val="clear" w:pos="720"/>
          <w:tab w:val="left" w:pos="3384" w:leader="none"/>
        </w:tabs>
        <w:ind w:hanging="504" w:start="3384" w:end="0"/>
        <w:jc w:val="both"/>
        <w:rPr/>
      </w:pPr>
      <w:r>
        <w:rPr/>
        <w:t>Bid or Offer</w:t>
      </w:r>
    </w:p>
    <w:p>
      <w:pPr>
        <w:pStyle w:val="Normal"/>
        <w:numPr>
          <w:ilvl w:val="0"/>
          <w:numId w:val="4"/>
        </w:numPr>
        <w:tabs>
          <w:tab w:val="clear" w:pos="720"/>
          <w:tab w:val="left" w:pos="3384" w:leader="none"/>
        </w:tabs>
        <w:ind w:hanging="504" w:start="3384" w:end="0"/>
        <w:jc w:val="both"/>
        <w:rPr/>
      </w:pPr>
      <w:r>
        <w:rPr/>
        <w:t>Record ID (Sponsor’s)</w:t>
      </w:r>
    </w:p>
    <w:p>
      <w:pPr>
        <w:pStyle w:val="Normal"/>
        <w:numPr>
          <w:ilvl w:val="0"/>
          <w:numId w:val="4"/>
        </w:numPr>
        <w:tabs>
          <w:tab w:val="clear" w:pos="720"/>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r>
        <w:br w:type="page"/>
      </w:r>
    </w:p>
    <w:p>
      <w:pPr>
        <w:pStyle w:val="Normal"/>
        <w:jc w:val="both"/>
        <w:rPr/>
      </w:pPr>
      <w:r>
        <w:rPr/>
      </w:r>
    </w:p>
    <w:p>
      <w:pPr>
        <w:pStyle w:val="Normal"/>
        <w:jc w:val="center"/>
        <w:rPr>
          <w:b/>
          <w:bCs/>
          <w:caps/>
        </w:rPr>
      </w:pPr>
      <w:r>
        <w:rPr>
          <w:b/>
          <w:bCs/>
          <w:caps/>
        </w:rPr>
        <w:t>EXHIBIT E</w:t>
      </w:r>
    </w:p>
    <w:p>
      <w:pPr>
        <w:pStyle w:val="Normal"/>
        <w:jc w:val="center"/>
        <w:rPr>
          <w:b/>
          <w:bCs/>
          <w:caps/>
        </w:rPr>
      </w:pPr>
      <w:r>
        <w:rPr>
          <w:b/>
          <w:bCs/>
          <w:caps/>
        </w:rPr>
        <w:t>Counterparty Interface</w:t>
      </w:r>
    </w:p>
    <w:p>
      <w:pPr>
        <w:pStyle w:val="Normal"/>
        <w:jc w:val="both"/>
        <w:rPr/>
      </w:pPr>
      <w:r>
        <w:rPr/>
      </w:r>
    </w:p>
    <w:p>
      <w:pPr>
        <w:pStyle w:val="Normal"/>
        <w:ind w:hanging="2160" w:start="2880" w:end="0"/>
        <w:jc w:val="both"/>
        <w:rPr/>
      </w:pPr>
      <w:r>
        <w:rPr/>
        <w:t>Purpose:</w:t>
        <w:tab/>
        <w:t>This interface enables Enron to automatically update the information held within the Sponsor’s platform relating to which counterparties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Normal"/>
        <w:numPr>
          <w:ilvl w:val="0"/>
          <w:numId w:val="3"/>
        </w:numPr>
        <w:jc w:val="both"/>
        <w:rPr/>
      </w:pPr>
      <w:r>
        <w:rPr/>
        <w:t>Morning/24hour upload of Enron’s profiles by counterparties on Sponsor’s system.</w:t>
      </w:r>
    </w:p>
    <w:p>
      <w:pPr>
        <w:pStyle w:val="Normal"/>
        <w:numPr>
          <w:ilvl w:val="0"/>
          <w:numId w:val="3"/>
        </w:numPr>
        <w:jc w:val="both"/>
        <w:rPr/>
      </w:pPr>
      <w:r>
        <w:rPr/>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bCs/>
          <w:caps/>
        </w:rPr>
      </w:pPr>
      <w:r>
        <w:rPr>
          <w:b/>
          <w:bCs/>
          <w:caps/>
        </w:rPr>
        <w:t>EXHIBIT E</w:t>
      </w:r>
    </w:p>
    <w:p>
      <w:pPr>
        <w:pStyle w:val="Normal"/>
        <w:jc w:val="center"/>
        <w:rPr>
          <w:b/>
          <w:bCs/>
          <w:caps/>
        </w:rPr>
      </w:pPr>
      <w:r>
        <w:rPr>
          <w:b/>
          <w:bCs/>
          <w:caps/>
        </w:rPr>
        <w:t>ID Interface</w:t>
      </w:r>
    </w:p>
    <w:p>
      <w:pPr>
        <w:pStyle w:val="Normal"/>
        <w:jc w:val="both"/>
        <w:rPr>
          <w:b/>
          <w:bCs/>
          <w:caps/>
        </w:rPr>
      </w:pPr>
      <w:r>
        <w:rPr>
          <w:b/>
          <w:bCs/>
          <w:caps/>
        </w:rPr>
      </w:r>
    </w:p>
    <w:p>
      <w:pPr>
        <w:pStyle w:val="Normal"/>
        <w:ind w:hanging="2160" w:start="2880" w:end="0"/>
        <w:jc w:val="both"/>
        <w:rPr/>
      </w:pPr>
      <w:r>
        <w:rPr/>
        <w:t>Purpose:</w:t>
        <w:tab/>
        <w:t>This interface/message/XLS sets out the Enron ID’s for all terminology utilized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1"/>
        </w:numPr>
        <w:tabs>
          <w:tab w:val="clear" w:pos="720"/>
          <w:tab w:val="left" w:pos="3384" w:leader="none"/>
        </w:tabs>
        <w:ind w:hanging="504" w:start="3384" w:end="0"/>
        <w:jc w:val="both"/>
        <w:rPr/>
      </w:pPr>
      <w:r>
        <w:rPr/>
        <w:t>Counterparty</w:t>
      </w:r>
    </w:p>
    <w:p>
      <w:pPr>
        <w:pStyle w:val="Normal"/>
        <w:numPr>
          <w:ilvl w:val="0"/>
          <w:numId w:val="1"/>
        </w:numPr>
        <w:tabs>
          <w:tab w:val="clear" w:pos="720"/>
          <w:tab w:val="left" w:pos="3384" w:leader="none"/>
        </w:tabs>
        <w:ind w:hanging="504" w:start="3384" w:end="0"/>
        <w:jc w:val="both"/>
        <w:rPr/>
      </w:pPr>
      <w:r>
        <w:rPr/>
        <w:t>Product</w:t>
      </w:r>
    </w:p>
    <w:p>
      <w:pPr>
        <w:pStyle w:val="Normal"/>
        <w:numPr>
          <w:ilvl w:val="0"/>
          <w:numId w:val="1"/>
        </w:numPr>
        <w:tabs>
          <w:tab w:val="clear" w:pos="720"/>
          <w:tab w:val="left" w:pos="3384" w:leader="none"/>
        </w:tabs>
        <w:ind w:hanging="504" w:start="3384" w:end="0"/>
        <w:jc w:val="both"/>
        <w:rPr/>
      </w:pPr>
      <w:r>
        <w:rPr/>
        <w:t>Commodity</w:t>
      </w:r>
    </w:p>
    <w:p>
      <w:pPr>
        <w:pStyle w:val="Normal"/>
        <w:numPr>
          <w:ilvl w:val="0"/>
          <w:numId w:val="1"/>
        </w:numPr>
        <w:tabs>
          <w:tab w:val="clear" w:pos="720"/>
          <w:tab w:val="left" w:pos="3384" w:leader="none"/>
        </w:tabs>
        <w:ind w:hanging="504" w:start="3384" w:end="0"/>
        <w:jc w:val="both"/>
        <w:rPr/>
      </w:pPr>
      <w:r>
        <w:rPr/>
        <w:t>Country</w:t>
      </w:r>
    </w:p>
    <w:p>
      <w:pPr>
        <w:pStyle w:val="Normal"/>
        <w:numPr>
          <w:ilvl w:val="0"/>
          <w:numId w:val="1"/>
        </w:numPr>
        <w:tabs>
          <w:tab w:val="clear" w:pos="720"/>
          <w:tab w:val="left" w:pos="3384" w:leader="none"/>
        </w:tabs>
        <w:ind w:hanging="504" w:start="3384" w:end="0"/>
        <w:jc w:val="both"/>
        <w:rPr/>
      </w:pPr>
      <w:r>
        <w:rPr/>
        <w:t>Deal Type (swap, option)</w:t>
      </w:r>
    </w:p>
    <w:p>
      <w:pPr>
        <w:pStyle w:val="Normal"/>
        <w:numPr>
          <w:ilvl w:val="0"/>
          <w:numId w:val="1"/>
        </w:numPr>
        <w:tabs>
          <w:tab w:val="clear" w:pos="720"/>
          <w:tab w:val="left" w:pos="3384" w:leader="none"/>
        </w:tabs>
        <w:ind w:hanging="504" w:start="3384" w:end="0"/>
        <w:jc w:val="both"/>
        <w:rPr/>
      </w:pPr>
      <w:r>
        <w:rPr/>
        <w:t>Category (Fin, Phy, Cap)</w:t>
      </w:r>
    </w:p>
    <w:p>
      <w:pPr>
        <w:pStyle w:val="Normal"/>
        <w:numPr>
          <w:ilvl w:val="0"/>
          <w:numId w:val="1"/>
        </w:numPr>
        <w:tabs>
          <w:tab w:val="clear" w:pos="720"/>
          <w:tab w:val="left" w:pos="3384" w:leader="none"/>
        </w:tabs>
        <w:ind w:hanging="504" w:start="3384" w:end="0"/>
        <w:jc w:val="both"/>
        <w:rPr/>
      </w:pPr>
      <w:r>
        <w:rPr/>
        <w:t>Units of currency</w:t>
      </w:r>
    </w:p>
    <w:p>
      <w:pPr>
        <w:pStyle w:val="Normal"/>
        <w:numPr>
          <w:ilvl w:val="0"/>
          <w:numId w:val="1"/>
        </w:numPr>
        <w:tabs>
          <w:tab w:val="clear" w:pos="720"/>
          <w:tab w:val="left" w:pos="3384" w:leader="none"/>
        </w:tabs>
        <w:ind w:hanging="504" w:start="3384" w:end="0"/>
        <w:jc w:val="both"/>
        <w:rPr/>
      </w:pPr>
      <w:r>
        <w:rPr/>
        <w:t>all other text that must be sent numerically</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Enron</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bCs/>
          <w:caps/>
        </w:rPr>
      </w:pPr>
      <w:r>
        <w:rPr>
          <w:b/>
          <w:bCs/>
          <w:caps/>
        </w:rPr>
        <w:t>EXHIBIT F</w:t>
      </w:r>
    </w:p>
    <w:p>
      <w:pPr>
        <w:pStyle w:val="Normal"/>
        <w:jc w:val="center"/>
        <w:rPr>
          <w:b/>
          <w:bCs/>
          <w:caps/>
        </w:rPr>
      </w:pPr>
      <w:r>
        <w:rPr>
          <w:b/>
          <w:bCs/>
          <w:caps/>
        </w:rPr>
        <w:t>Transaction Search Interface</w:t>
      </w:r>
    </w:p>
    <w:p>
      <w:pPr>
        <w:pStyle w:val="Normal"/>
        <w:jc w:val="both"/>
        <w:rPr>
          <w:b/>
          <w:bCs/>
          <w:caps/>
          <w:u w:val="single"/>
        </w:rPr>
      </w:pPr>
      <w:r>
        <w:rPr>
          <w:b/>
          <w:bCs/>
          <w:caps/>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tabs>
          <w:tab w:val="clear" w:pos="720"/>
          <w:tab w:val="left" w:pos="8640" w:leader="none"/>
        </w:tabs>
        <w:rPr>
          <w:i/>
          <w:i/>
          <w:iCs/>
        </w:rPr>
      </w:pPr>
      <w:r>
        <w:rPr>
          <w:i/>
          <w:iCs/>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504"/>
      </w:pPr>
      <w:rPr>
        <w:rFonts w:ascii="Symbol" w:hAnsi="Symbol" w:cs="Symbol" w:hint="default"/>
      </w:rPr>
    </w:lvl>
  </w:abstractNum>
  <w:abstractNum w:abstractNumId="2">
    <w:lvl w:ilvl="0">
      <w:start w:val="1"/>
      <w:numFmt w:val="bullet"/>
      <w:lvlText w:val=""/>
      <w:lvlJc w:val="start"/>
      <w:pPr>
        <w:tabs>
          <w:tab w:val="num" w:pos="648"/>
        </w:tabs>
        <w:ind w:start="648" w:hanging="504"/>
      </w:pPr>
      <w:rPr>
        <w:rFonts w:ascii="Symbol" w:hAnsi="Symbol" w:cs="Symbol" w:hint="default"/>
      </w:rPr>
    </w:lvl>
  </w:abstractNum>
  <w:abstractNum w:abstractNumId="3">
    <w:lvl w:ilvl="0">
      <w:start w:val="1"/>
      <w:numFmt w:val="decimal"/>
      <w:lvlText w:val="(%1)"/>
      <w:lvlJc w:val="start"/>
      <w:pPr>
        <w:tabs>
          <w:tab w:val="num" w:pos="2880"/>
        </w:tabs>
        <w:ind w:start="2880" w:hanging="720"/>
      </w:pPr>
      <w:rPr/>
    </w:lvl>
  </w:abstractNum>
  <w:abstractNum w:abstractNumId="4">
    <w:lvl w:ilvl="0">
      <w:start w:val="1"/>
      <w:numFmt w:val="bullet"/>
      <w:lvlText w:val=""/>
      <w:lvlJc w:val="start"/>
      <w:pPr>
        <w:tabs>
          <w:tab w:val="num" w:pos="648"/>
        </w:tabs>
        <w:ind w:start="648" w:hanging="504"/>
      </w:pPr>
      <w:rPr>
        <w:rFonts w:ascii="Symbol" w:hAnsi="Symbol" w:cs="Symbol" w:hint="default"/>
      </w:rPr>
    </w:lvl>
  </w:abstractNum>
  <w:abstractNum w:abstractNumId="5">
    <w:lvl w:ilvl="0">
      <w:start w:val="1"/>
      <w:numFmt w:val="bullet"/>
      <w:lvlText w:val=""/>
      <w:lvlJc w:val="start"/>
      <w:pPr>
        <w:tabs>
          <w:tab w:val="num" w:pos="648"/>
        </w:tabs>
        <w:ind w:start="648" w:hanging="504"/>
      </w:pPr>
      <w:rPr>
        <w:rFonts w:ascii="Symbol" w:hAnsi="Symbol" w:cs="Symbol" w:hint="default"/>
      </w:rPr>
    </w:lvl>
  </w:abstractNum>
  <w:abstractNum w:abstractNumId="6">
    <w:lvl w:ilvl="0">
      <w:start w:val="1"/>
      <w:numFmt w:val="bullet"/>
      <w:lvlText w:val=""/>
      <w:lvlJc w:val="start"/>
      <w:pPr>
        <w:tabs>
          <w:tab w:val="num" w:pos="648"/>
        </w:tabs>
        <w:ind w:start="648" w:hanging="504"/>
      </w:pPr>
      <w:rPr>
        <w:rFonts w:ascii="Symbol" w:hAnsi="Symbol" w:cs="Symbol" w:hint="default"/>
      </w:rPr>
    </w:lvl>
  </w:abstractNum>
  <w:abstractNum w:abstractNumId="7">
    <w:lvl w:ilvl="0">
      <w:start w:val="1"/>
      <w:numFmt w:val="bullet"/>
      <w:lvlText w:val=""/>
      <w:lvlJc w:val="start"/>
      <w:pPr>
        <w:tabs>
          <w:tab w:val="num" w:pos="648"/>
        </w:tabs>
        <w:ind w:start="648" w:hanging="504"/>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i w:val="false"/>
      <w:sz w:val="24"/>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9z2">
    <w:name w:val="WW8Num9z2"/>
    <w:qFormat/>
    <w:rPr>
      <w:u w:val="none"/>
    </w:rPr>
  </w:style>
  <w:style w:type="character" w:styleId="WW8Num10z0">
    <w:name w:val="WW8Num10z0"/>
    <w:qFormat/>
    <w:rPr/>
  </w:style>
  <w:style w:type="character" w:styleId="WW8Num11z0">
    <w:name w:val="WW8Num11z0"/>
    <w:qFormat/>
    <w:rPr>
      <w:i w:val="false"/>
      <w:sz w:val="24"/>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i w:val="false"/>
      <w:sz w:val="24"/>
    </w:rPr>
  </w:style>
  <w:style w:type="character" w:styleId="WW8Num16z0">
    <w:name w:val="WW8Num16z0"/>
    <w:qFormat/>
    <w:rPr>
      <w:i w:val="false"/>
      <w:sz w:val="24"/>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i w:val="fals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style>
  <w:style w:type="character" w:styleId="WW8Num55z0">
    <w:name w:val="WW8Num55z0"/>
    <w:qFormat/>
    <w:rPr>
      <w:i w:val="false"/>
      <w:sz w:val="24"/>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sz w:val="24"/>
      <w:u w:val="none"/>
    </w:rPr>
  </w:style>
  <w:style w:type="character" w:styleId="WW8Num67z0">
    <w:name w:val="WW8Num67z0"/>
    <w:qFormat/>
    <w:rPr>
      <w:b w:val="false"/>
      <w:u w:val="none"/>
    </w:rPr>
  </w:style>
  <w:style w:type="character" w:styleId="WW8Num68z0">
    <w:name w:val="WW8Num68z0"/>
    <w:qFormat/>
    <w:rPr/>
  </w:style>
  <w:style w:type="character" w:styleId="WW8Num69z0">
    <w:name w:val="WW8Num6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2"/>
      <w:szCs w:val="20"/>
      <w:u w:val="single"/>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2000-06-29T15:00:00Z</dcterms:created>
  <dc:creator>Travis McCullough</dc:creator>
  <dc:description/>
  <dc:language>en-CA</dc:language>
  <cp:lastModifiedBy>Travis McCullough</cp:lastModifiedBy>
  <cp:lastPrinted>2000-06-30T11:35:00Z</cp:lastPrinted>
  <dcterms:modified xsi:type="dcterms:W3CDTF">2000-06-30T14:23:00Z</dcterms:modified>
  <cp:revision>5</cp:revision>
  <dc:subject/>
  <dc:title>PRICE POSTING AGREEMENT</dc:title>
</cp:coreProperties>
</file>