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val="false"/>
          <w:bCs w:val="false"/>
          <w:smallCaps/>
          <w:sz w:val="28"/>
        </w:rPr>
      </w:pPr>
      <w:r>
        <w:rPr>
          <w:b w:val="false"/>
          <w:bCs w:val="false"/>
          <w:smallCaps/>
          <w:sz w:val="28"/>
        </w:rPr>
      </w:r>
    </w:p>
    <w:p>
      <w:pPr>
        <w:pStyle w:val="Heading2"/>
        <w:ind w:hanging="0" w:start="0"/>
        <w:jc w:val="center"/>
        <w:rPr>
          <w:smallCaps/>
          <w:color w:val="000000"/>
          <w:sz w:val="26"/>
        </w:rPr>
      </w:pPr>
      <w:r>
        <w:rPr>
          <w:smallCaps/>
          <w:color w:val="000000"/>
          <w:sz w:val="26"/>
        </w:rPr>
        <w:t>Newport Generation Enters Independent Power Industry, Backed by Experienced Leadership and Strong Financial Foundation</w:t>
      </w:r>
    </w:p>
    <w:p>
      <w:pPr>
        <w:pStyle w:val="Normal"/>
        <w:rPr>
          <w:smallCaps/>
          <w:color w:val="000000"/>
          <w:sz w:val="25"/>
        </w:rPr>
      </w:pPr>
      <w:r>
        <w:rPr>
          <w:smallCaps/>
          <w:color w:val="000000"/>
          <w:sz w:val="25"/>
        </w:rPr>
      </w:r>
    </w:p>
    <w:p>
      <w:pPr>
        <w:pStyle w:val="Normal"/>
        <w:rPr>
          <w:sz w:val="25"/>
        </w:rPr>
      </w:pPr>
      <w:r>
        <w:rPr>
          <w:sz w:val="25"/>
        </w:rPr>
      </w:r>
    </w:p>
    <w:p>
      <w:pPr>
        <w:pStyle w:val="Normal"/>
        <w:spacing w:lineRule="auto" w:line="360"/>
        <w:jc w:val="both"/>
        <w:rPr/>
      </w:pPr>
      <w:r>
        <w:rPr/>
        <w:t>IRVINE, Calif. (March 13, 2000) — Newport Generation, Inc. today announced it recently began operations as a new independent power producer (IPP) specializing in the development and acquisition of power generation assets primarily in the U.S. and Europe.</w:t>
      </w:r>
    </w:p>
    <w:p>
      <w:pPr>
        <w:pStyle w:val="Normal"/>
        <w:spacing w:lineRule="auto" w:line="360"/>
        <w:jc w:val="both"/>
        <w:rPr/>
      </w:pPr>
      <w:r>
        <w:rPr/>
      </w:r>
    </w:p>
    <w:p>
      <w:pPr>
        <w:pStyle w:val="Normal"/>
        <w:spacing w:lineRule="auto" w:line="360"/>
        <w:jc w:val="both"/>
        <w:rPr/>
      </w:pPr>
      <w:r>
        <w:rPr/>
        <w:t>Led by a team of accomplished power industry veterans, Newport Generation will concentrate on acquiring natural gas, coal and hydroelectric energy projects, as well as developing large Greenfield projects.  Over the next two to three years, the company plans to develop and acquire a project portfolio of at least 2,000-megawatts (MW).</w:t>
      </w:r>
    </w:p>
    <w:p>
      <w:pPr>
        <w:pStyle w:val="Normal"/>
        <w:spacing w:lineRule="auto" w:line="360"/>
        <w:jc w:val="both"/>
        <w:rPr/>
      </w:pPr>
      <w:r>
        <w:rPr/>
      </w:r>
    </w:p>
    <w:p>
      <w:pPr>
        <w:pStyle w:val="Normal"/>
        <w:spacing w:lineRule="auto" w:line="360"/>
        <w:jc w:val="both"/>
        <w:rPr/>
      </w:pPr>
      <w:r>
        <w:rPr/>
        <w:t>The establishment of Newport Generation early last month was boosted by the commitment of $150 million in private equity financing from Warburg Pincus.  The company is in discussion with other major investors to secure additional private equity commitments.</w:t>
      </w:r>
    </w:p>
    <w:p>
      <w:pPr>
        <w:pStyle w:val="Normal"/>
        <w:spacing w:lineRule="auto" w:line="360"/>
        <w:jc w:val="both"/>
        <w:rPr/>
      </w:pPr>
      <w:r>
        <w:rPr/>
      </w:r>
    </w:p>
    <w:p>
      <w:pPr>
        <w:pStyle w:val="Normal"/>
        <w:spacing w:lineRule="auto" w:line="360"/>
        <w:jc w:val="both"/>
        <w:rPr/>
      </w:pPr>
      <w:r>
        <w:rPr/>
        <w:t>“</w:t>
      </w:r>
      <w:r>
        <w:rPr/>
        <w:t>The deregulation of the U.S. and European electric power markets, combined with increasing supply needs in this country, has created tremendous opportunities for independent companies to provide low-cost, efficient and clean power supplies,” said Charles J. Brown III, chief executive officer of Newport Generation.  Brown was formerly president of Entergy Power Group, and prior to that he held the same position at Westmoreland Energy.</w:t>
      </w:r>
    </w:p>
    <w:p>
      <w:pPr>
        <w:pStyle w:val="Normal"/>
        <w:spacing w:lineRule="auto" w:line="360"/>
        <w:jc w:val="both"/>
        <w:rPr/>
      </w:pPr>
      <w:r>
        <w:rPr/>
      </w:r>
    </w:p>
    <w:p>
      <w:pPr>
        <w:sectPr>
          <w:headerReference w:type="default" r:id="rId2"/>
          <w:footerReference w:type="default" r:id="rId3"/>
          <w:type w:val="nextPage"/>
          <w:pgSz w:w="12240" w:h="15840"/>
          <w:pgMar w:left="1800" w:right="1800" w:gutter="0" w:header="720" w:top="1440" w:footer="360" w:bottom="1440"/>
          <w:pgNumType w:fmt="decimal"/>
          <w:formProt w:val="false"/>
          <w:textDirection w:val="lrTb"/>
          <w:docGrid w:type="default" w:linePitch="360" w:charSpace="0"/>
        </w:sectPr>
        <w:pStyle w:val="BodyText"/>
        <w:rPr/>
      </w:pPr>
      <w:r>
        <w:rPr/>
        <w:t>“</w:t>
      </w:r>
      <w:r>
        <w:rPr/>
        <w:t>While there are many players in this end of the business, Newport Generation brings a level of industry expertise and financial resources that is uncommon for a developer of our size,” he added.</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t>Sharing the helm at Newport Generation is Lawrence S. Folks, executive vice president and chief financial officer.  Also formerly with Entergy, Folks served as a vice president and general manager of development for North America, as well as holding senior posts at LG&amp;E Power.  Together, Brown and Folks bring more than 35 years of combined experience in the independent power business.</w:t>
      </w:r>
    </w:p>
    <w:p>
      <w:pPr>
        <w:pStyle w:val="Normal"/>
        <w:spacing w:lineRule="auto" w:line="360"/>
        <w:jc w:val="both"/>
        <w:rPr/>
      </w:pPr>
      <w:r>
        <w:rPr/>
      </w:r>
    </w:p>
    <w:p>
      <w:pPr>
        <w:pStyle w:val="Normal"/>
        <w:spacing w:lineRule="auto" w:line="360"/>
        <w:jc w:val="both"/>
        <w:rPr/>
      </w:pPr>
      <w:r>
        <w:rPr/>
        <w:t>The senior management team also comprises several industry professionals who have spent years working with each other – as well as with Brown and Folks – at companies such as Entergy, LG&amp;E Power and Westmoreland Energy.  They include: William R. Ford, Jr., vice president of finance; Stephen B. Gross, vice president of asset management and operations; and Sameh I. Mobarek, director of acquisitions.  Prior to joining Newport Generation, Ford was vice president and general manager of Entergy’s Australian operations and Gross was director of asset management for Edison Mission Energy’s entire 10,000 MW portfolio in the Midwest.</w:t>
      </w:r>
    </w:p>
    <w:p>
      <w:pPr>
        <w:pStyle w:val="Normal"/>
        <w:spacing w:lineRule="auto" w:line="360"/>
        <w:jc w:val="both"/>
        <w:rPr/>
      </w:pPr>
      <w:r>
        <w:rPr/>
      </w:r>
    </w:p>
    <w:p>
      <w:pPr>
        <w:pStyle w:val="Normal"/>
        <w:spacing w:lineRule="auto" w:line="360"/>
        <w:jc w:val="both"/>
        <w:rPr/>
      </w:pPr>
      <w:r>
        <w:rPr/>
        <w:t>“</w:t>
      </w:r>
      <w:r>
        <w:rPr/>
        <w:t>The people behind Newport Generation are our strongest asset,” said Brown.  “Our management team members are proven deal closers, with years of hands-on experience in development and acquisition, which will be key to the company’s success.”</w:t>
      </w:r>
    </w:p>
    <w:p>
      <w:pPr>
        <w:pStyle w:val="Normal"/>
        <w:spacing w:lineRule="auto" w:line="360"/>
        <w:jc w:val="both"/>
        <w:rPr/>
      </w:pPr>
      <w:r>
        <w:rPr/>
      </w:r>
    </w:p>
    <w:p>
      <w:pPr>
        <w:pStyle w:val="Normal"/>
        <w:spacing w:lineRule="auto" w:line="360"/>
        <w:jc w:val="both"/>
        <w:rPr/>
      </w:pPr>
      <w:r>
        <w:rPr/>
        <w:t>Newport Generation is currently located in Irvine, California.  The company will be permanently headquartered in nearby Newport Beach by Summer 2000.</w:t>
      </w:r>
    </w:p>
    <w:p>
      <w:pPr>
        <w:pStyle w:val="Normal"/>
        <w:spacing w:lineRule="auto" w:line="360"/>
        <w:jc w:val="both"/>
        <w:rPr/>
      </w:pPr>
      <w:r>
        <w:rPr/>
      </w:r>
    </w:p>
    <w:p>
      <w:pPr>
        <w:pStyle w:val="Normal"/>
        <w:spacing w:lineRule="auto" w:line="360"/>
        <w:jc w:val="both"/>
        <w:rPr/>
      </w:pPr>
      <w:r>
        <w:rPr/>
        <w:t xml:space="preserve">Warburg Pincus is a major global private equity firm that has invested more than $9 billion in over 360 companies since 1971.  Investing out of the $5 billion Warburg, Pincus Equity Partners, L.P. fund, and working in partnership with management, the firm takes an active role in the development of portfolio companies from start-ups to the creation of significant and durable businesses.  The firm invests in a broad array of industries, including energy, financial services, healthcare and education, information </w:t>
      </w:r>
    </w:p>
    <w:p>
      <w:pPr>
        <w:pStyle w:val="Normal"/>
        <w:spacing w:lineRule="auto" w:line="360"/>
        <w:jc w:val="both"/>
        <w:rPr/>
      </w:pPr>
      <w:r>
        <w:rPr/>
      </w:r>
    </w:p>
    <w:p>
      <w:pPr>
        <w:pStyle w:val="Normal"/>
        <w:spacing w:lineRule="auto" w:line="360"/>
        <w:jc w:val="both"/>
        <w:rPr/>
      </w:pPr>
      <w:r>
        <w:rPr/>
        <w:t xml:space="preserve">technology, the Internet, and media and communications.  Other Warburg Pincus energy investments </w:t>
      </w:r>
    </w:p>
    <w:p>
      <w:pPr>
        <w:pStyle w:val="Normal"/>
        <w:spacing w:lineRule="auto" w:line="360"/>
        <w:jc w:val="both"/>
        <w:rPr/>
      </w:pPr>
      <w:r>
        <w:rPr/>
        <w:t xml:space="preserve">include: J. Makowski Company; Newfield Exploration; Marine Drilling; EEX Corporation; and Spinnaker Exploration.  Warburg Pincus is headquartered in New York and has offices in London, Hong Kong, Singapore, Tokyo, and Sao Paulo.  More information on Warburg Pincus is available at www.warburgpincus.com. </w:t>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3200400</wp:posOffset>
                </wp:positionH>
                <wp:positionV relativeFrom="paragraph">
                  <wp:posOffset>-400685</wp:posOffset>
                </wp:positionV>
                <wp:extent cx="2628900" cy="685800"/>
                <wp:effectExtent l="0" t="0" r="0" b="0"/>
                <wp:wrapNone/>
                <wp:docPr id="6" name="Frame1"/>
                <a:graphic xmlns:a="http://schemas.openxmlformats.org/drawingml/2006/main">
                  <a:graphicData uri="http://schemas.microsoft.com/office/word/2010/wordprocessingShape">
                    <wps:wsp>
                      <wps:cNvSpPr txBox="1"/>
                      <wps:spPr>
                        <a:xfrm>
                          <a:off x="0" y="0"/>
                          <a:ext cx="2628900" cy="685800"/>
                        </a:xfrm>
                        <a:prstGeom prst="rect"/>
                        <a:solidFill>
                          <a:srgbClr val="FFFFFF">
                            <a:alpha val="0"/>
                          </a:srgbClr>
                        </a:solidFill>
                      </wps:spPr>
                      <wps:txbx>
                        <w:txbxContent>
                          <w:p>
                            <w:pPr>
                              <w:pStyle w:val="Heading2"/>
                              <w:spacing w:before="0" w:after="240"/>
                              <w:ind w:hanging="0" w:start="0"/>
                              <w:rPr/>
                            </w:pPr>
                            <w:r>
                              <w:rPr/>
                            </w:r>
                          </w:p>
                        </w:txbxContent>
                      </wps:txbx>
                      <wps:bodyPr anchor="t" lIns="92075" tIns="46355" rIns="92075" bIns="46355">
                        <a:noAutofit/>
                      </wps:bodyPr>
                    </wps:wsp>
                  </a:graphicData>
                </a:graphic>
              </wp:anchor>
            </w:drawing>
          </mc:Choice>
          <mc:Fallback>
            <w:pict>
              <v:rect fillcolor="#FFFFFF" style="position:absolute;rotation:-0;width:207pt;height:54pt;mso-wrap-distance-left:9.05pt;mso-wrap-distance-right:9.05pt;mso-wrap-distance-top:0pt;mso-wrap-distance-bottom:0pt;margin-top:-31.55pt;mso-position-vertical-relative:text;margin-left:252pt;mso-position-horizontal-relative:text">
                <v:fill opacity="0f"/>
                <v:textbox inset="0.100694444444444in,0.0506944444444444in,0.100694444444444in,0.0506944444444444in">
                  <w:txbxContent>
                    <w:p>
                      <w:pPr>
                        <w:pStyle w:val="Heading2"/>
                        <w:spacing w:before="0" w:after="240"/>
                        <w:ind w:hanging="0" w:start="0"/>
                        <w:rPr/>
                      </w:pPr>
                      <w:r>
                        <w:rPr/>
                      </w:r>
                    </w:p>
                  </w:txbxContent>
                </v:textbox>
                <w10:wrap type="none"/>
              </v:rect>
            </w:pict>
          </mc:Fallback>
        </mc:AlternateContent>
      </w:r>
    </w:p>
    <w:sectPr>
      <w:headerReference w:type="default" r:id="rId4"/>
      <w:headerReference w:type="first" r:id="rId5"/>
      <w:footerReference w:type="default" r:id="rId6"/>
      <w:footerReference w:type="first" r:id="rId7"/>
      <w:type w:val="nextPage"/>
      <w:pgSz w:w="12240" w:h="15840"/>
      <w:pgMar w:left="1800" w:right="1800" w:gutter="0" w:header="72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color w:val="333399"/>
        <w:sz w:val="20"/>
      </w:rPr>
    </w:pPr>
    <w:r>
      <mc:AlternateContent>
        <mc:Choice Requires="wps">
          <w:drawing>
            <wp:anchor behindDoc="1" distT="0" distB="0" distL="114935" distR="114935" simplePos="0" locked="0" layoutInCell="1" allowOverlap="1" relativeHeight="3">
              <wp:simplePos x="0" y="0"/>
              <wp:positionH relativeFrom="column">
                <wp:posOffset>-114300</wp:posOffset>
              </wp:positionH>
              <wp:positionV relativeFrom="paragraph">
                <wp:posOffset>-12700</wp:posOffset>
              </wp:positionV>
              <wp:extent cx="5715000" cy="0"/>
              <wp:effectExtent l="0" t="5080" r="0" b="5080"/>
              <wp:wrapNone/>
              <wp:docPr id="5" name=""/>
              <a:graphic xmlns:a="http://schemas.openxmlformats.org/drawingml/2006/main">
                <a:graphicData uri="http://schemas.microsoft.com/office/word/2010/wordprocessingShape">
                  <wps:wsp>
                    <wps:cNvSpPr/>
                    <wps:spPr>
                      <a:xfrm>
                        <a:off x="0" y="0"/>
                        <a:ext cx="5715000" cy="0"/>
                      </a:xfrm>
                      <a:prstGeom prst="line">
                        <a:avLst/>
                      </a:prstGeom>
                      <a:ln w="9360">
                        <a:solidFill>
                          <a:srgbClr val="f36e3f"/>
                        </a:solidFill>
                        <a:miter/>
                      </a:ln>
                    </wps:spPr>
                    <wps:style>
                      <a:lnRef idx="0"/>
                      <a:fillRef idx="0"/>
                      <a:effectRef idx="0"/>
                      <a:fontRef idx="minor"/>
                    </wps:style>
                    <wps:bodyPr/>
                  </wps:wsp>
                </a:graphicData>
              </a:graphic>
            </wp:anchor>
          </w:drawing>
        </mc:Choice>
        <mc:Fallback>
          <w:pict>
            <v:line id="shape_0" from="-9pt,-1pt" to="440.95pt,-1pt" stroked="t" o:allowincell="f" style="position:absolute">
              <v:stroke color="#f36e3f" weight="9360" joinstyle="miter" endcap="flat"/>
              <v:fill o:detectmouseclick="t" on="false"/>
              <w10:wrap type="none"/>
            </v:line>
          </w:pict>
        </mc:Fallback>
      </mc:AlternateContent>
    </w:r>
    <w:r>
      <w:rPr>
        <w:color w:val="333399"/>
        <w:sz w:val="20"/>
      </w:rPr>
      <w:t>4 Park Plaza,  Suite 450,  Irvine,  CA 92614</w:t>
    </w:r>
  </w:p>
  <w:p>
    <w:pPr>
      <w:pStyle w:val="Heading3"/>
      <w:spacing w:before="0" w:after="240"/>
      <w:ind w:hanging="0" w:start="0"/>
      <w:rPr/>
    </w:pPr>
    <w:r>
      <w:rPr>
        <w:color w:val="333399"/>
        <w:sz w:val="20"/>
      </w:rPr>
      <w:t xml:space="preserve">Main (949) 475-9570  </w:t>
    </w:r>
    <w:r>
      <w:rPr>
        <w:color w:val="FF6600"/>
        <w:sz w:val="20"/>
      </w:rPr>
      <w:t xml:space="preserve">● </w:t>
    </w:r>
    <w:r>
      <w:rPr>
        <w:color w:val="333399"/>
        <w:sz w:val="20"/>
      </w:rPr>
      <w:t xml:space="preserve"> Fax (949) 475-9576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114935" distR="114935" simplePos="0" locked="0" layoutInCell="1" allowOverlap="1" relativeHeight="6">
              <wp:simplePos x="0" y="0"/>
              <wp:positionH relativeFrom="column">
                <wp:posOffset>-685800</wp:posOffset>
              </wp:positionH>
              <wp:positionV relativeFrom="paragraph">
                <wp:posOffset>914400</wp:posOffset>
              </wp:positionV>
              <wp:extent cx="2628900" cy="0"/>
              <wp:effectExtent l="0" t="38100" r="0" b="38100"/>
              <wp:wrapNone/>
              <wp:docPr id="1" name=""/>
              <a:graphic xmlns:a="http://schemas.openxmlformats.org/drawingml/2006/main">
                <a:graphicData uri="http://schemas.microsoft.com/office/word/2010/wordprocessingShape">
                  <wps:wsp>
                    <wps:cNvSpPr/>
                    <wps:spPr>
                      <a:xfrm>
                        <a:off x="0" y="0"/>
                        <a:ext cx="2629080" cy="0"/>
                      </a:xfrm>
                      <a:prstGeom prst="line">
                        <a:avLst/>
                      </a:prstGeom>
                      <a:ln w="76320">
                        <a:solidFill>
                          <a:srgbClr val="ffffff"/>
                        </a:solidFill>
                        <a:miter/>
                      </a:ln>
                    </wps:spPr>
                    <wps:style>
                      <a:lnRef idx="0"/>
                      <a:fillRef idx="0"/>
                      <a:effectRef idx="0"/>
                      <a:fontRef idx="minor"/>
                    </wps:style>
                    <wps:bodyPr/>
                  </wps:wsp>
                </a:graphicData>
              </a:graphic>
            </wp:anchor>
          </w:drawing>
        </mc:Choice>
        <mc:Fallback>
          <w:pict>
            <v:line id="shape_0" from="-54pt,72pt" to="152.95pt,72pt" stroked="t" o:allowincell="f" style="position:absolute">
              <v:stroke color="white" weight="7632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914400</wp:posOffset>
              </wp:positionV>
              <wp:extent cx="5486400" cy="0"/>
              <wp:effectExtent l="0" t="6350" r="0" b="6350"/>
              <wp:wrapNone/>
              <wp:docPr id="2" name=""/>
              <a:graphic xmlns:a="http://schemas.openxmlformats.org/drawingml/2006/main">
                <a:graphicData uri="http://schemas.microsoft.com/office/word/2010/wordprocessingShape">
                  <wps:wsp>
                    <wps:cNvSpPr/>
                    <wps:spPr>
                      <a:xfrm>
                        <a:off x="0" y="0"/>
                        <a:ext cx="5486400" cy="0"/>
                      </a:xfrm>
                      <a:prstGeom prst="line">
                        <a:avLst/>
                      </a:prstGeom>
                      <a:ln w="12600">
                        <a:solidFill>
                          <a:srgbClr val="ff6600"/>
                        </a:solidFill>
                        <a:miter/>
                      </a:ln>
                    </wps:spPr>
                    <wps:style>
                      <a:lnRef idx="0"/>
                      <a:fillRef idx="0"/>
                      <a:effectRef idx="0"/>
                      <a:fontRef idx="minor"/>
                    </wps:style>
                    <wps:bodyPr/>
                  </wps:wsp>
                </a:graphicData>
              </a:graphic>
            </wp:anchor>
          </w:drawing>
        </mc:Choice>
        <mc:Fallback>
          <w:pict>
            <v:line id="shape_0" from="0pt,72pt" to="431.95pt,72pt" stroked="t" o:allowincell="f" style="position:absolute">
              <v:stroke color="#ff6600" weight="12600" joinstyle="miter" endcap="flat"/>
              <v:fill o:detectmouseclick="t" on="false"/>
              <w10:wrap type="none"/>
            </v:line>
          </w:pict>
        </mc:Fallback>
      </mc:AlternateContent>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43.9pt;height:90.05pt" filled="f" o:ole="">
          <v:imagedata r:id="rId2" o:title=""/>
        </v:shape>
        <o:OLEObject Type="Embed" ProgID="" ShapeID="ole_rId1" DrawAspect="Content" ObjectID="_715107003" r:id="rId1"/>
      </w:object>
    </w:r>
    <w:r>
      <mc:AlternateContent>
        <mc:Choice Requires="wps">
          <w:drawing>
            <wp:anchor behindDoc="1" distT="0" distB="0" distL="114935" distR="114935" simplePos="0" locked="0" layoutInCell="1" allowOverlap="1" relativeHeight="4">
              <wp:simplePos x="0" y="0"/>
              <wp:positionH relativeFrom="column">
                <wp:posOffset>3886200</wp:posOffset>
              </wp:positionH>
              <wp:positionV relativeFrom="paragraph">
                <wp:posOffset>635</wp:posOffset>
              </wp:positionV>
              <wp:extent cx="1828800" cy="685800"/>
              <wp:effectExtent l="0" t="0" r="0" b="0"/>
              <wp:wrapNone/>
              <wp:docPr id="3" name="Frame2"/>
              <a:graphic xmlns:a="http://schemas.openxmlformats.org/drawingml/2006/main">
                <a:graphicData uri="http://schemas.microsoft.com/office/word/2010/wordprocessingShape">
                  <wps:wsp>
                    <wps:cNvSpPr txBox="1"/>
                    <wps:spPr>
                      <a:xfrm>
                        <a:off x="0" y="0"/>
                        <a:ext cx="1828800" cy="685800"/>
                      </a:xfrm>
                      <a:prstGeom prst="rect"/>
                      <a:solidFill>
                        <a:srgbClr val="FFFFFF">
                          <a:alpha val="0"/>
                        </a:srgbClr>
                      </a:solidFill>
                    </wps:spPr>
                    <wps:txbx>
                      <w:txbxContent>
                        <w:p>
                          <w:pPr>
                            <w:pStyle w:val="Heading4"/>
                            <w:spacing w:before="40" w:after="0"/>
                            <w:ind w:hanging="0" w:start="0"/>
                            <w:rPr>
                              <w:smallCaps/>
                            </w:rPr>
                          </w:pPr>
                          <w:r>
                            <w:rPr>
                              <w:smallCaps/>
                            </w:rPr>
                          </w:r>
                        </w:p>
                      </w:txbxContent>
                    </wps:txbx>
                    <wps:bodyPr anchor="t" lIns="92075" tIns="46355" rIns="92075" bIns="46355">
                      <a:noAutofit/>
                    </wps:bodyPr>
                  </wps:wsp>
                </a:graphicData>
              </a:graphic>
            </wp:anchor>
          </w:drawing>
        </mc:Choice>
        <mc:Fallback>
          <w:pict>
            <v:rect fillcolor="#FFFFFF" style="position:absolute;rotation:-0;width:144pt;height:54pt;mso-wrap-distance-left:9.05pt;mso-wrap-distance-right:9.05pt;mso-wrap-distance-top:0pt;mso-wrap-distance-bottom:0pt;margin-top:0pt;mso-position-vertical-relative:text;margin-left:306pt;mso-position-horizontal-relative:text">
              <v:fill opacity="0f"/>
              <v:textbox inset="0.100694444444444in,0.0506944444444444in,0.100694444444444in,0.0506944444444444in">
                <w:txbxContent>
                  <w:p>
                    <w:pPr>
                      <w:pStyle w:val="Heading4"/>
                      <w:spacing w:before="40" w:after="0"/>
                      <w:ind w:hanging="0" w:start="0"/>
                      <w:rPr>
                        <w:smallCaps/>
                      </w:rPr>
                    </w:pPr>
                    <w:r>
                      <w:rPr>
                        <w:smallCaps/>
                      </w:rPr>
                    </w:r>
                  </w:p>
                </w:txbxContent>
              </v:textbox>
              <w10:wrap type="none"/>
            </v:rect>
          </w:pict>
        </mc:Fallback>
      </mc:AlternateContent>
    </w:r>
    <w:r>
      <mc:AlternateContent>
        <mc:Choice Requires="wps">
          <w:drawing>
            <wp:anchor behindDoc="1" distT="0" distB="0" distL="114935" distR="114935" simplePos="0" locked="0" layoutInCell="1" allowOverlap="1" relativeHeight="5">
              <wp:simplePos x="0" y="0"/>
              <wp:positionH relativeFrom="column">
                <wp:posOffset>3886200</wp:posOffset>
              </wp:positionH>
              <wp:positionV relativeFrom="paragraph">
                <wp:posOffset>571500</wp:posOffset>
              </wp:positionV>
              <wp:extent cx="2057400" cy="914400"/>
              <wp:effectExtent l="0" t="0" r="0" b="0"/>
              <wp:wrapNone/>
              <wp:docPr id="4" name="Frame3"/>
              <a:graphic xmlns:a="http://schemas.openxmlformats.org/drawingml/2006/main">
                <a:graphicData uri="http://schemas.microsoft.com/office/word/2010/wordprocessingShape">
                  <wps:wsp>
                    <wps:cNvSpPr txBox="1"/>
                    <wps:spPr>
                      <a:xfrm>
                        <a:off x="0" y="0"/>
                        <a:ext cx="2057400" cy="914400"/>
                      </a:xfrm>
                      <a:prstGeom prst="rect"/>
                      <a:solidFill>
                        <a:srgbClr val="FFFFFF">
                          <a:alpha val="0"/>
                        </a:srgbClr>
                      </a:solidFill>
                    </wps:spPr>
                    <wps:txbx>
                      <w:txbxContent>
                        <w:p>
                          <w:pPr>
                            <w:pStyle w:val="Heading4"/>
                            <w:spacing w:before="120" w:after="0"/>
                            <w:ind w:hanging="0" w:start="0"/>
                            <w:rPr/>
                          </w:pPr>
                          <w:r>
                            <w:rPr/>
                          </w:r>
                        </w:p>
                        <w:p>
                          <w:pPr>
                            <w:pStyle w:val="Heading4"/>
                            <w:spacing w:before="120" w:after="0"/>
                            <w:ind w:hanging="0" w:start="0"/>
                            <w:rPr>
                              <w:sz w:val="22"/>
                            </w:rPr>
                          </w:pPr>
                          <w:r>
                            <w:rPr>
                              <w:sz w:val="22"/>
                            </w:rPr>
                            <w:t xml:space="preserve">     </w:t>
                          </w:r>
                          <w:r>
                            <w:rPr>
                              <w:sz w:val="22"/>
                            </w:rPr>
                            <w:t>Direct (949) 475-9570</w:t>
                          </w:r>
                        </w:p>
                      </w:txbxContent>
                    </wps:txbx>
                    <wps:bodyPr anchor="t" lIns="92075" tIns="46355" rIns="92075" bIns="46355">
                      <a:noAutofit/>
                    </wps:bodyPr>
                  </wps:wsp>
                </a:graphicData>
              </a:graphic>
            </wp:anchor>
          </w:drawing>
        </mc:Choice>
        <mc:Fallback>
          <w:pict>
            <v:rect fillcolor="#FFFFFF" style="position:absolute;rotation:-0;width:162pt;height:72pt;mso-wrap-distance-left:9.05pt;mso-wrap-distance-right:9.05pt;mso-wrap-distance-top:0pt;mso-wrap-distance-bottom:0pt;margin-top:45pt;mso-position-vertical-relative:text;margin-left:306pt;mso-position-horizontal-relative:text">
              <v:fill opacity="0f"/>
              <v:textbox inset="0.100694444444444in,0.0506944444444444in,0.100694444444444in,0.0506944444444444in">
                <w:txbxContent>
                  <w:p>
                    <w:pPr>
                      <w:pStyle w:val="Heading4"/>
                      <w:spacing w:before="120" w:after="0"/>
                      <w:ind w:hanging="0" w:start="0"/>
                      <w:rPr/>
                    </w:pPr>
                    <w:r>
                      <w:rPr/>
                    </w:r>
                  </w:p>
                  <w:p>
                    <w:pPr>
                      <w:pStyle w:val="Heading4"/>
                      <w:spacing w:before="120" w:after="0"/>
                      <w:ind w:hanging="0" w:start="0"/>
                      <w:rPr>
                        <w:sz w:val="22"/>
                      </w:rPr>
                    </w:pPr>
                    <w:r>
                      <w:rPr>
                        <w:sz w:val="22"/>
                      </w:rPr>
                      <w:t xml:space="preserve">     </w:t>
                    </w:r>
                    <w:r>
                      <w:rPr>
                        <w:sz w:val="22"/>
                      </w:rPr>
                      <w:t>Direct (949) 475-9570</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mc:AlternateContent>
        <mc:Choice Requires="wps">
          <w:drawing>
            <wp:anchor behindDoc="1" distT="0" distB="0" distL="114935" distR="114935" simplePos="0" locked="0" layoutInCell="1" allowOverlap="1" relativeHeight="11">
              <wp:simplePos x="0" y="0"/>
              <wp:positionH relativeFrom="column">
                <wp:posOffset>-685800</wp:posOffset>
              </wp:positionH>
              <wp:positionV relativeFrom="paragraph">
                <wp:posOffset>914400</wp:posOffset>
              </wp:positionV>
              <wp:extent cx="2171700" cy="0"/>
              <wp:effectExtent l="0" t="38100" r="0" b="38100"/>
              <wp:wrapNone/>
              <wp:docPr id="7" name=""/>
              <a:graphic xmlns:a="http://schemas.openxmlformats.org/drawingml/2006/main">
                <a:graphicData uri="http://schemas.microsoft.com/office/word/2010/wordprocessingShape">
                  <wps:wsp>
                    <wps:cNvSpPr/>
                    <wps:spPr>
                      <a:xfrm>
                        <a:off x="0" y="0"/>
                        <a:ext cx="2171880" cy="0"/>
                      </a:xfrm>
                      <a:prstGeom prst="line">
                        <a:avLst/>
                      </a:prstGeom>
                      <a:ln w="76320">
                        <a:solidFill>
                          <a:srgbClr val="ffffff"/>
                        </a:solidFill>
                        <a:miter/>
                      </a:ln>
                    </wps:spPr>
                    <wps:style>
                      <a:lnRef idx="0"/>
                      <a:fillRef idx="0"/>
                      <a:effectRef idx="0"/>
                      <a:fontRef idx="minor"/>
                    </wps:style>
                    <wps:bodyPr/>
                  </wps:wsp>
                </a:graphicData>
              </a:graphic>
            </wp:anchor>
          </w:drawing>
        </mc:Choice>
        <mc:Fallback>
          <w:pict>
            <v:line id="shape_0" from="-54pt,72pt" to="116.95pt,72pt" stroked="t" o:allowincell="f" style="position:absolute">
              <v:stroke color="white" weight="7632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9">
              <wp:simplePos x="0" y="0"/>
              <wp:positionH relativeFrom="column">
                <wp:posOffset>3886200</wp:posOffset>
              </wp:positionH>
              <wp:positionV relativeFrom="paragraph">
                <wp:posOffset>635</wp:posOffset>
              </wp:positionV>
              <wp:extent cx="1828800" cy="685800"/>
              <wp:effectExtent l="0" t="0" r="0" b="0"/>
              <wp:wrapNone/>
              <wp:docPr id="8" name="Frame4"/>
              <a:graphic xmlns:a="http://schemas.openxmlformats.org/drawingml/2006/main">
                <a:graphicData uri="http://schemas.microsoft.com/office/word/2010/wordprocessingShape">
                  <wps:wsp>
                    <wps:cNvSpPr txBox="1"/>
                    <wps:spPr>
                      <a:xfrm>
                        <a:off x="0" y="0"/>
                        <a:ext cx="1828800" cy="685800"/>
                      </a:xfrm>
                      <a:prstGeom prst="rect"/>
                      <a:solidFill>
                        <a:srgbClr val="FFFFFF">
                          <a:alpha val="0"/>
                        </a:srgbClr>
                      </a:solidFill>
                    </wps:spPr>
                    <wps:txbx>
                      <w:txbxContent>
                        <w:p>
                          <w:pPr>
                            <w:pStyle w:val="Heading4"/>
                            <w:spacing w:before="40" w:after="0"/>
                            <w:ind w:hanging="0" w:start="0"/>
                            <w:rPr>
                              <w:smallCaps/>
                            </w:rPr>
                          </w:pPr>
                          <w:r>
                            <w:rPr>
                              <w:smallCaps/>
                            </w:rPr>
                          </w:r>
                        </w:p>
                      </w:txbxContent>
                    </wps:txbx>
                    <wps:bodyPr anchor="t" lIns="92075" tIns="46355" rIns="92075" bIns="46355">
                      <a:noAutofit/>
                    </wps:bodyPr>
                  </wps:wsp>
                </a:graphicData>
              </a:graphic>
            </wp:anchor>
          </w:drawing>
        </mc:Choice>
        <mc:Fallback>
          <w:pict>
            <v:rect fillcolor="#FFFFFF" style="position:absolute;rotation:-0;width:144pt;height:54pt;mso-wrap-distance-left:9.05pt;mso-wrap-distance-right:9.05pt;mso-wrap-distance-top:0pt;mso-wrap-distance-bottom:0pt;margin-top:0pt;mso-position-vertical-relative:text;margin-left:306pt;mso-position-horizontal-relative:text">
              <v:fill opacity="0f"/>
              <v:textbox inset="0.100694444444444in,0.0506944444444444in,0.100694444444444in,0.0506944444444444in">
                <w:txbxContent>
                  <w:p>
                    <w:pPr>
                      <w:pStyle w:val="Heading4"/>
                      <w:spacing w:before="40" w:after="0"/>
                      <w:ind w:hanging="0" w:start="0"/>
                      <w:rPr>
                        <w:smallCaps/>
                      </w:rPr>
                    </w:pPr>
                    <w:r>
                      <w:rPr>
                        <w:smallCaps/>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3399"/>
      <w:sz w:val="32"/>
    </w:rPr>
  </w:style>
  <w:style w:type="paragraph" w:styleId="Heading2">
    <w:name w:val="heading 2"/>
    <w:basedOn w:val="Normal"/>
    <w:next w:val="Normal"/>
    <w:qFormat/>
    <w:pPr>
      <w:keepNext w:val="true"/>
      <w:numPr>
        <w:ilvl w:val="1"/>
        <w:numId w:val="1"/>
      </w:numPr>
      <w:jc w:val="end"/>
      <w:outlineLvl w:val="1"/>
    </w:pPr>
    <w:rPr>
      <w:b/>
      <w:bCs/>
      <w:color w:val="333399"/>
    </w:rPr>
  </w:style>
  <w:style w:type="paragraph" w:styleId="Heading3">
    <w:name w:val="heading 3"/>
    <w:basedOn w:val="Normal"/>
    <w:next w:val="Normal"/>
    <w:qFormat/>
    <w:pPr>
      <w:keepNext w:val="true"/>
      <w:numPr>
        <w:ilvl w:val="2"/>
        <w:numId w:val="1"/>
      </w:numPr>
      <w:spacing w:before="0" w:after="240"/>
      <w:jc w:val="center"/>
      <w:outlineLvl w:val="2"/>
    </w:pPr>
    <w:rPr>
      <w:b/>
      <w:bCs/>
    </w:rPr>
  </w:style>
  <w:style w:type="paragraph" w:styleId="Heading4">
    <w:name w:val="heading 4"/>
    <w:basedOn w:val="Normal"/>
    <w:next w:val="Normal"/>
    <w:qFormat/>
    <w:pPr>
      <w:keepNext w:val="true"/>
      <w:numPr>
        <w:ilvl w:val="3"/>
        <w:numId w:val="1"/>
      </w:numPr>
      <w:outlineLvl w:val="3"/>
    </w:pPr>
    <w:rPr>
      <w:b/>
      <w:bCs/>
      <w:color w:val="333399"/>
    </w:rPr>
  </w:style>
  <w:style w:type="paragraph" w:styleId="Heading5">
    <w:name w:val="heading 5"/>
    <w:basedOn w:val="Normal"/>
    <w:next w:val="Normal"/>
    <w:qFormat/>
    <w:pPr>
      <w:keepNext w:val="true"/>
      <w:numPr>
        <w:ilvl w:val="4"/>
        <w:numId w:val="1"/>
      </w:numPr>
      <w:outlineLvl w:val="4"/>
    </w:pPr>
    <w:rPr>
      <w:b/>
      <w:bCs/>
      <w:color w:val="FF9900"/>
    </w:rPr>
  </w:style>
  <w:style w:type="paragraph" w:styleId="Heading6">
    <w:name w:val="heading 6"/>
    <w:basedOn w:val="Normal"/>
    <w:next w:val="Normal"/>
    <w:qFormat/>
    <w:pPr>
      <w:keepNext w:val="true"/>
      <w:numPr>
        <w:ilvl w:val="5"/>
        <w:numId w:val="1"/>
      </w:numPr>
      <w:outlineLvl w:val="5"/>
    </w:pPr>
    <w:rPr>
      <w:b/>
      <w:bCs/>
      <w:color w:val="FF6600"/>
    </w:rPr>
  </w:style>
  <w:style w:type="paragraph" w:styleId="Heading7">
    <w:name w:val="heading 7"/>
    <w:basedOn w:val="Normal"/>
    <w:next w:val="Normal"/>
    <w:qFormat/>
    <w:pPr>
      <w:keepNext w:val="true"/>
      <w:numPr>
        <w:ilvl w:val="6"/>
        <w:numId w:val="1"/>
      </w:numPr>
      <w:outlineLvl w:val="6"/>
    </w:pPr>
    <w:rPr>
      <w:rFonts w:ascii="Garamond" w:hAnsi="Garamond" w:cs="Garamond"/>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2000-07-31T16:56:00Z</dcterms:created>
  <dc:creator>jthompson</dc:creator>
  <dc:description/>
  <dc:language>en-CA</dc:language>
  <cp:lastModifiedBy>cbrown</cp:lastModifiedBy>
  <cp:lastPrinted>2000-07-31T12:26:00Z</cp:lastPrinted>
  <dcterms:modified xsi:type="dcterms:W3CDTF">2000-07-31T16:56:00Z</dcterms:modified>
  <cp:revision>2</cp:revision>
  <dc:subject/>
  <dc:title>NEWPORT GENERATION ENTERS INDEPENDENT POWER INDUSTRY, BACKED BY EXPERIENCED LEADERSHIP AND STRONG FINANCIAL FOUNDATION</dc:title>
</cp:coreProperties>
</file>