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p>
      <w:pPr>
        <w:pStyle w:val="Heading"/>
        <w:rPr/>
      </w:pPr>
      <w:r>
        <w:rPr/>
      </w:r>
    </w:p>
    <w:p>
      <w:pPr>
        <w:pStyle w:val="Heading"/>
        <w:rPr/>
      </w:pPr>
      <w:r>
        <w:rPr/>
      </w:r>
    </w:p>
    <w:p>
      <w:pPr>
        <w:pStyle w:val="Heading"/>
        <w:rPr/>
      </w:pPr>
      <w:r>
        <w:rPr/>
      </w:r>
    </w:p>
    <w:p>
      <w:pPr>
        <w:pStyle w:val="Heading"/>
        <w:rPr/>
      </w:pPr>
      <w:r>
        <w:rPr/>
      </w:r>
    </w:p>
    <w:p>
      <w:pPr>
        <w:pStyle w:val="Heading"/>
        <w:rPr/>
      </w:pPr>
      <w:r>
        <w:rPr/>
      </w:r>
    </w:p>
    <w:tbl>
      <w:tblPr>
        <w:tblW w:w="10398" w:type="dxa"/>
        <w:jc w:val="start"/>
        <w:tblInd w:w="200" w:type="dxa"/>
        <w:tblLayout w:type="fixed"/>
        <w:tblCellMar>
          <w:top w:w="0" w:type="dxa"/>
          <w:start w:w="108" w:type="dxa"/>
          <w:bottom w:w="0" w:type="dxa"/>
          <w:end w:w="108" w:type="dxa"/>
        </w:tblCellMar>
      </w:tblPr>
      <w:tblGrid>
        <w:gridCol w:w="708"/>
        <w:gridCol w:w="6045"/>
        <w:gridCol w:w="990"/>
        <w:gridCol w:w="265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rFonts w:eastAsia="Arial"/>
              </w:rPr>
              <w:t xml:space="preserve"> </w:t>
            </w:r>
            <w:r>
              <w:rPr/>
              <w:t xml:space="preserve">Enron Europe MDs and VPs </w:t>
            </w:r>
          </w:p>
        </w:tc>
        <w:tc>
          <w:tcPr>
            <w:tcW w:w="990" w:type="dxa"/>
            <w:tcBorders/>
          </w:tcPr>
          <w:p>
            <w:pPr>
              <w:pStyle w:val="Normal"/>
              <w:snapToGrid w:val="false"/>
              <w:ind w:start="-180" w:end="0"/>
              <w:rPr/>
            </w:pPr>
            <w:r>
              <w:rPr/>
            </w:r>
          </w:p>
        </w:tc>
        <w:tc>
          <w:tcPr>
            <w:tcW w:w="2655" w:type="dxa"/>
            <w:tcBorders/>
          </w:tcPr>
          <w:p>
            <w:pPr>
              <w:pStyle w:val="Normal"/>
              <w:snapToGrid w:val="false"/>
              <w:rPr/>
            </w:pPr>
            <w:r>
              <w:rPr/>
            </w:r>
          </w:p>
        </w:tc>
      </w:tr>
      <w:tr>
        <w:trPr>
          <w:trHeight w:val="216" w:hRule="exact"/>
        </w:trPr>
        <w:tc>
          <w:tcPr>
            <w:tcW w:w="708" w:type="dxa"/>
            <w:tcBorders/>
          </w:tcPr>
          <w:p>
            <w:pPr>
              <w:pStyle w:val="Normal"/>
              <w:snapToGrid w:val="false"/>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655" w:type="dxa"/>
            <w:tcBorders/>
          </w:tcPr>
          <w:p>
            <w:pPr>
              <w:pStyle w:val="Normal"/>
              <w:snapToGrid w:val="false"/>
              <w:rPr>
                <w:sz w:val="18"/>
              </w:rPr>
            </w:pPr>
            <w:r>
              <w:rPr>
                <w:sz w:val="18"/>
              </w:rPr>
            </w:r>
          </w:p>
        </w:tc>
      </w:tr>
      <w:tr>
        <w:trPr>
          <w:trHeight w:val="300" w:hRule="exact"/>
        </w:trPr>
        <w:tc>
          <w:tcPr>
            <w:tcW w:w="708" w:type="dxa"/>
            <w:tcBorders/>
          </w:tcPr>
          <w:p>
            <w:pPr>
              <w:pStyle w:val="Normal"/>
              <w:jc w:val="end"/>
              <w:rPr>
                <w:sz w:val="16"/>
              </w:rPr>
            </w:pPr>
            <w:r>
              <w:rPr>
                <w:sz w:val="16"/>
              </w:rPr>
              <w:t>From:</w:t>
            </w:r>
          </w:p>
        </w:tc>
        <w:tc>
          <w:tcPr>
            <w:tcW w:w="6045" w:type="dxa"/>
            <w:tcBorders/>
          </w:tcPr>
          <w:p>
            <w:pPr>
              <w:pStyle w:val="From"/>
              <w:rPr/>
            </w:pPr>
            <w:r>
              <w:rPr/>
              <w:t>John Sherriff &amp; Michael Brown</w:t>
            </w:r>
          </w:p>
        </w:tc>
        <w:tc>
          <w:tcPr>
            <w:tcW w:w="990" w:type="dxa"/>
            <w:tcBorders/>
          </w:tcPr>
          <w:p>
            <w:pPr>
              <w:pStyle w:val="Normal"/>
              <w:ind w:start="-180" w:end="0"/>
              <w:jc w:val="end"/>
              <w:rPr>
                <w:sz w:val="16"/>
              </w:rPr>
            </w:pPr>
            <w:r>
              <w:rPr>
                <w:sz w:val="16"/>
              </w:rPr>
              <w:t>Department:</w:t>
            </w:r>
          </w:p>
        </w:tc>
        <w:tc>
          <w:tcPr>
            <w:tcW w:w="2655" w:type="dxa"/>
            <w:tcBorders/>
          </w:tcPr>
          <w:p>
            <w:pPr>
              <w:pStyle w:val="Department"/>
              <w:rPr/>
            </w:pPr>
            <w:bookmarkStart w:id="0" w:name="From"/>
            <w:bookmarkEnd w:id="0"/>
            <w:r>
              <w:rPr/>
              <w:t>Office of the Chairman</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65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Management of Departmental Annual Parties</w:t>
            </w:r>
          </w:p>
        </w:tc>
        <w:tc>
          <w:tcPr>
            <w:tcW w:w="990" w:type="dxa"/>
            <w:tcBorders>
              <w:bottom w:val="single" w:sz="12" w:space="0" w:color="000000"/>
            </w:tcBorders>
          </w:tcPr>
          <w:p>
            <w:pPr>
              <w:pStyle w:val="Normal"/>
              <w:ind w:start="-180" w:end="0"/>
              <w:jc w:val="end"/>
              <w:rPr>
                <w:sz w:val="16"/>
              </w:rPr>
            </w:pPr>
            <w:r>
              <w:rPr>
                <w:sz w:val="16"/>
              </w:rPr>
              <w:t>Date:</w:t>
            </w:r>
          </w:p>
        </w:tc>
        <w:tc>
          <w:tcPr>
            <w:tcW w:w="265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color w:val="000000"/>
        </w:rPr>
      </w:pPr>
      <w:r>
        <w:rPr>
          <w:color w:val="000000"/>
        </w:rPr>
      </w:r>
    </w:p>
    <w:p>
      <w:pPr>
        <w:pStyle w:val="Body"/>
        <w:jc w:val="both"/>
        <w:rPr>
          <w:color w:val="000000"/>
          <w:sz w:val="18"/>
        </w:rPr>
      </w:pPr>
      <w:r>
        <w:rPr>
          <w:color w:val="000000"/>
          <w:sz w:val="18"/>
        </w:rPr>
        <w:t>Following on from our announcement in April that we will no longer be holding an annual all-employee Christmas Party, but that in lieu of such an event we will be allocating a per head allowance for use in planning departmental events, we would ask that you take note of the following guidelines on how the new policy should be managed by each department:</w:t>
      </w:r>
    </w:p>
    <w:p>
      <w:pPr>
        <w:pStyle w:val="Body"/>
        <w:jc w:val="both"/>
        <w:rPr>
          <w:color w:val="000000"/>
          <w:sz w:val="18"/>
        </w:rPr>
      </w:pPr>
      <w:r>
        <w:rPr>
          <w:color w:val="000000"/>
          <w:sz w:val="18"/>
        </w:rPr>
      </w:r>
    </w:p>
    <w:p>
      <w:pPr>
        <w:pStyle w:val="Body"/>
        <w:jc w:val="both"/>
        <w:rPr>
          <w:color w:val="000000"/>
          <w:sz w:val="18"/>
        </w:rPr>
      </w:pPr>
      <w:r>
        <w:rPr>
          <w:b/>
          <w:bCs/>
          <w:color w:val="000000"/>
          <w:sz w:val="18"/>
          <w:u w:val="single"/>
        </w:rPr>
        <w:t>Background</w:t>
      </w:r>
    </w:p>
    <w:p>
      <w:pPr>
        <w:pStyle w:val="Body"/>
        <w:jc w:val="both"/>
        <w:rPr>
          <w:color w:val="000000"/>
          <w:sz w:val="18"/>
        </w:rPr>
      </w:pPr>
      <w:r>
        <w:rPr>
          <w:color w:val="000000"/>
          <w:sz w:val="18"/>
        </w:rPr>
      </w:r>
    </w:p>
    <w:p>
      <w:pPr>
        <w:pStyle w:val="Body"/>
        <w:jc w:val="both"/>
        <w:rPr>
          <w:color w:val="000000"/>
          <w:sz w:val="18"/>
        </w:rPr>
      </w:pPr>
      <w:r>
        <w:rPr>
          <w:color w:val="000000"/>
          <w:sz w:val="18"/>
        </w:rPr>
        <w:t xml:space="preserve">Under current Inland Revenue rules, businesses are provided with an exemption under the tax code for annual employee events such as a corporate Christmas party.  Specifically, under taxable employee benefits, businesses are allowed to spend up to £75.00 per head tax-free on an event(s) that is of a recurring nature.   </w:t>
      </w:r>
    </w:p>
    <w:p>
      <w:pPr>
        <w:pStyle w:val="Body"/>
        <w:jc w:val="both"/>
        <w:rPr>
          <w:color w:val="000000"/>
          <w:sz w:val="18"/>
        </w:rPr>
      </w:pPr>
      <w:r>
        <w:rPr>
          <w:color w:val="000000"/>
          <w:sz w:val="18"/>
        </w:rPr>
      </w:r>
    </w:p>
    <w:p>
      <w:pPr>
        <w:pStyle w:val="Body"/>
        <w:jc w:val="both"/>
        <w:rPr/>
      </w:pPr>
      <w:r>
        <w:rPr>
          <w:color w:val="000000"/>
          <w:sz w:val="18"/>
        </w:rPr>
        <w:t xml:space="preserve">The allowance is an </w:t>
      </w:r>
      <w:r>
        <w:rPr>
          <w:color w:val="000000"/>
          <w:sz w:val="18"/>
          <w:u w:val="single"/>
        </w:rPr>
        <w:t>all-inclusive</w:t>
      </w:r>
      <w:r>
        <w:rPr>
          <w:color w:val="000000"/>
          <w:sz w:val="18"/>
        </w:rPr>
        <w:t xml:space="preserve"> maximum annual spend per head and thus, must include not only catering and entertainment costs, but also indirect costs such as cab fares to and from the event, tips, door prizes, etc. Further, employees may only benefit from the maximum allowable spend one time in any calendar year.  However, while the rule limits annual spend per head to £75.00, it does not limit the number of events providing that they are established with a view to holding the event(s) on a recurring basis.  That is to say, a department could decide to hold two or three smaller group outings each year providing (1) the total overall costs do not exceed the annual per head allowance and (2) every effort is made to hold the event(s) on or around the same time in following years (note: our interpretation of the rule is that goodwill efforts to hold an event each summer, for example, would benefit from the tax-free allowance, but that replicating the event itself would not be required.).  A final point worth noting is that the allowance is calculated on a </w:t>
      </w:r>
      <w:r>
        <w:rPr>
          <w:color w:val="000000"/>
          <w:sz w:val="18"/>
          <w:u w:val="single"/>
        </w:rPr>
        <w:t>per head</w:t>
      </w:r>
      <w:r>
        <w:rPr>
          <w:color w:val="000000"/>
          <w:sz w:val="18"/>
        </w:rPr>
        <w:t xml:space="preserve"> basis and does not differentiate between full-time employees, contract employees and guests. </w:t>
      </w:r>
    </w:p>
    <w:p>
      <w:pPr>
        <w:pStyle w:val="Body"/>
        <w:jc w:val="both"/>
        <w:rPr>
          <w:color w:val="000000"/>
          <w:sz w:val="18"/>
        </w:rPr>
      </w:pPr>
      <w:r>
        <w:rPr>
          <w:color w:val="000000"/>
          <w:sz w:val="18"/>
        </w:rPr>
      </w:r>
    </w:p>
    <w:p>
      <w:pPr>
        <w:pStyle w:val="Body"/>
        <w:jc w:val="both"/>
        <w:rPr>
          <w:color w:val="000000"/>
          <w:sz w:val="18"/>
        </w:rPr>
      </w:pPr>
      <w:r>
        <w:rPr>
          <w:b/>
          <w:bCs/>
          <w:color w:val="000000"/>
          <w:sz w:val="18"/>
          <w:u w:val="single"/>
        </w:rPr>
        <w:t>Recommended Practices for Managing Departmental Events</w:t>
      </w:r>
    </w:p>
    <w:p>
      <w:pPr>
        <w:pStyle w:val="Body"/>
        <w:jc w:val="both"/>
        <w:rPr>
          <w:color w:val="000000"/>
          <w:sz w:val="18"/>
        </w:rPr>
      </w:pPr>
      <w:r>
        <w:rPr>
          <w:color w:val="000000"/>
          <w:sz w:val="18"/>
        </w:rPr>
      </w:r>
    </w:p>
    <w:p>
      <w:pPr>
        <w:pStyle w:val="Body"/>
        <w:jc w:val="both"/>
        <w:rPr>
          <w:color w:val="000000"/>
          <w:sz w:val="18"/>
        </w:rPr>
      </w:pPr>
      <w:r>
        <w:rPr>
          <w:color w:val="000000"/>
          <w:sz w:val="18"/>
        </w:rPr>
        <w:t>Before planning any events for the remainder of the year, it is critical to note that should the £75.00 per head allowance be exceeded, even by ten pence, then Enron will be accountable for paying taxes on the full amount spent per head on the event not simply the excess spend above the £75.00 limit.  To this end, Enron would incur an additional payout of between 70 – 85% in taxes making a simple event very onerous in terms of final costs.</w:t>
      </w:r>
    </w:p>
    <w:p>
      <w:pPr>
        <w:pStyle w:val="Body"/>
        <w:jc w:val="both"/>
        <w:rPr>
          <w:color w:val="000000"/>
          <w:sz w:val="18"/>
        </w:rPr>
      </w:pPr>
      <w:r>
        <w:rPr>
          <w:color w:val="000000"/>
          <w:sz w:val="18"/>
        </w:rPr>
      </w:r>
    </w:p>
    <w:p>
      <w:pPr>
        <w:pStyle w:val="Body"/>
        <w:jc w:val="both"/>
        <w:rPr/>
      </w:pPr>
      <w:r>
        <w:rPr>
          <w:color w:val="000000"/>
          <w:sz w:val="18"/>
        </w:rPr>
        <w:t xml:space="preserve">Accordingly, we would ask that each department head appoint a member of their team to be responsible for keeping appropriate records on the department’s annual event(s).   Should Enron be audited in the future, we would need to provide records detailing (1) total spend on the event (including all relevant documentation), (2) the total number of people attending the event, and (3) in the case of employees, a list of those attending to ensure no employee exceeds his or her annual spend.    </w:t>
      </w:r>
    </w:p>
    <w:p>
      <w:pPr>
        <w:pStyle w:val="Body"/>
        <w:jc w:val="both"/>
        <w:rPr>
          <w:color w:val="000000"/>
          <w:sz w:val="18"/>
        </w:rPr>
      </w:pPr>
      <w:r>
        <w:rPr>
          <w:color w:val="000000"/>
          <w:sz w:val="18"/>
        </w:rPr>
      </w:r>
    </w:p>
    <w:p>
      <w:pPr>
        <w:pStyle w:val="Body"/>
        <w:jc w:val="both"/>
        <w:rPr>
          <w:color w:val="000000"/>
          <w:sz w:val="18"/>
        </w:rPr>
      </w:pPr>
      <w:r>
        <w:rPr>
          <w:color w:val="000000"/>
          <w:sz w:val="18"/>
        </w:rPr>
        <w:t>While we recognise that it may prove difficult to maintain costs at or beneath the annual allowance limit, should the costs exceed the £75.00 limit, we would recommend that one of the following three options be taken on board:</w:t>
      </w:r>
    </w:p>
    <w:p>
      <w:pPr>
        <w:pStyle w:val="Body"/>
        <w:jc w:val="both"/>
        <w:rPr>
          <w:color w:val="000000"/>
          <w:sz w:val="18"/>
        </w:rPr>
      </w:pPr>
      <w:r>
        <w:rPr>
          <w:color w:val="000000"/>
          <w:sz w:val="18"/>
        </w:rPr>
      </w:r>
    </w:p>
    <w:p>
      <w:pPr>
        <w:pStyle w:val="Body"/>
        <w:numPr>
          <w:ilvl w:val="0"/>
          <w:numId w:val="2"/>
        </w:numPr>
        <w:jc w:val="both"/>
        <w:rPr>
          <w:color w:val="000000"/>
          <w:sz w:val="18"/>
        </w:rPr>
      </w:pPr>
      <w:r>
        <w:rPr>
          <w:color w:val="000000"/>
          <w:sz w:val="18"/>
        </w:rPr>
        <w:t>As the head of your department, you agree to pick-up the cost of the event plus the additional taxes on your budget.</w:t>
      </w:r>
    </w:p>
    <w:p>
      <w:pPr>
        <w:pStyle w:val="Body"/>
        <w:numPr>
          <w:ilvl w:val="0"/>
          <w:numId w:val="2"/>
        </w:numPr>
        <w:jc w:val="both"/>
        <w:rPr>
          <w:color w:val="000000"/>
          <w:sz w:val="18"/>
        </w:rPr>
      </w:pPr>
      <w:r>
        <w:rPr>
          <w:color w:val="000000"/>
          <w:sz w:val="18"/>
        </w:rPr>
        <w:t>You and the senior department managers agree to make a personal contribution to cover the costs of the event in excess of the annual per head limit.</w:t>
      </w:r>
    </w:p>
    <w:p>
      <w:pPr>
        <w:pStyle w:val="Body"/>
        <w:numPr>
          <w:ilvl w:val="0"/>
          <w:numId w:val="2"/>
        </w:numPr>
        <w:jc w:val="both"/>
        <w:rPr>
          <w:color w:val="000000"/>
          <w:sz w:val="18"/>
        </w:rPr>
      </w:pPr>
      <w:r>
        <w:rPr>
          <w:color w:val="000000"/>
          <w:sz w:val="18"/>
        </w:rPr>
        <w:t xml:space="preserve">The entire department agrees to make a small, personal contribution towards the cost of the event in order to keep within the annual per head limit. </w:t>
      </w:r>
    </w:p>
    <w:p>
      <w:pPr>
        <w:pStyle w:val="Body"/>
        <w:jc w:val="both"/>
        <w:rPr>
          <w:b/>
          <w:bCs/>
          <w:color w:val="000000"/>
          <w:sz w:val="18"/>
        </w:rPr>
      </w:pPr>
      <w:r>
        <w:rPr>
          <w:b/>
          <w:bCs/>
          <w:color w:val="000000"/>
          <w:sz w:val="18"/>
        </w:rPr>
      </w:r>
    </w:p>
    <w:p>
      <w:pPr>
        <w:pStyle w:val="Body"/>
        <w:jc w:val="both"/>
        <w:rPr>
          <w:color w:val="000000"/>
          <w:sz w:val="18"/>
        </w:rPr>
      </w:pPr>
      <w:r>
        <w:rPr>
          <w:color w:val="000000"/>
          <w:sz w:val="18"/>
        </w:rPr>
        <w:t>We hope that this overview provides enough information to aid you in planning future events.   Please remember that we encourage some of the larger departments to give some thought to splitting up into more manageable groups and, in the case of our smaller teams, that they consider teaming up with other departments in order to gain some critical mass when organising their respective event(s).</w:t>
      </w:r>
    </w:p>
    <w:p>
      <w:pPr>
        <w:pStyle w:val="Body"/>
        <w:jc w:val="both"/>
        <w:rPr>
          <w:color w:val="000000"/>
          <w:sz w:val="18"/>
        </w:rPr>
      </w:pPr>
      <w:r>
        <w:rPr>
          <w:color w:val="000000"/>
          <w:sz w:val="18"/>
        </w:rPr>
      </w:r>
    </w:p>
    <w:p>
      <w:pPr>
        <w:pStyle w:val="Body"/>
        <w:jc w:val="both"/>
        <w:rPr>
          <w:color w:val="000000"/>
          <w:sz w:val="18"/>
        </w:rPr>
      </w:pPr>
      <w:r>
        <w:rPr>
          <w:color w:val="000000"/>
          <w:sz w:val="18"/>
        </w:rPr>
        <w:t>Finally, please note that Fiona Grant in Public Relations (x35308) is available to answer any questions you may have about the new policy.  Further, if you would like some help in identifying potential ideas for department events, the Public Relations team would be happy to offer some guidance.</w:t>
      </w:r>
    </w:p>
    <w:p>
      <w:pPr>
        <w:pStyle w:val="Body"/>
        <w:jc w:val="both"/>
        <w:rPr>
          <w:color w:val="000000"/>
          <w:sz w:val="18"/>
        </w:rPr>
      </w:pPr>
      <w:r>
        <w:rPr>
          <w:color w:val="000000"/>
          <w:sz w:val="18"/>
        </w:rPr>
      </w:r>
    </w:p>
    <w:p>
      <w:pPr>
        <w:pStyle w:val="Body"/>
        <w:jc w:val="both"/>
        <w:rPr>
          <w:color w:val="000000"/>
          <w:sz w:val="18"/>
        </w:rPr>
      </w:pPr>
      <w:r>
        <w:rPr>
          <w:color w:val="000000"/>
          <w:sz w:val="18"/>
        </w:rPr>
        <w:t>Thank you.</w:t>
      </w:r>
    </w:p>
    <w:p>
      <w:pPr>
        <w:pStyle w:val="Body"/>
        <w:jc w:val="both"/>
        <w:rPr>
          <w:color w:val="000000"/>
          <w:sz w:val="18"/>
        </w:rPr>
      </w:pPr>
      <w:r>
        <w:rPr>
          <w:color w:val="000000"/>
          <w:sz w:val="18"/>
        </w:rPr>
      </w:r>
    </w:p>
    <w:p>
      <w:pPr>
        <w:pStyle w:val="Body"/>
        <w:ind w:start="0" w:end="0"/>
        <w:jc w:val="both"/>
        <w:rPr>
          <w:color w:val="000000"/>
          <w:sz w:val="18"/>
        </w:rPr>
      </w:pPr>
      <w:r>
        <w:rPr>
          <w:color w:val="000000"/>
          <w:sz w:val="18"/>
        </w:rPr>
      </w:r>
    </w:p>
    <w:sectPr>
      <w:headerReference w:type="default" r:id="rId3"/>
      <w:headerReference w:type="first" r:id="rId4"/>
      <w:footerReference w:type="default" r:id="rId5"/>
      <w:footerReference w:type="first" r:id="rId6"/>
      <w:type w:val="nextPage"/>
      <w:pgSz w:w="11906" w:h="16838"/>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jc w:val="center"/>
      <w:rPr>
        <w:b/>
        <w:sz w:val="16"/>
      </w:rPr>
    </w:pPr>
    <w:r>
      <w:rPr>
        <w:b/>
        <w:sz w:val="16"/>
      </w:rPr>
      <w:t>Endless Possibilities</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tab/>
    </w:r>
  </w:p>
  <w:p>
    <w:pPr>
      <w:pStyle w:val="Header"/>
      <w:rPr>
        <w:sz w:val="18"/>
      </w:rPr>
    </w:pPr>
    <w:r>
      <w:rPr>
        <w:sz w:val="18"/>
      </w:rPr>
      <w:fldChar w:fldCharType="begin"/>
    </w:r>
    <w:r>
      <w:rPr>
        <w:sz w:val="18"/>
      </w:rPr>
      <w:instrText xml:space="preserve"> DATE \@"M/d/yyyy" </w:instrText>
    </w:r>
    <w:r>
      <w:rPr>
        <w:sz w:val="18"/>
      </w:rPr>
      <w:fldChar w:fldCharType="separate"/>
    </w:r>
    <w:r>
      <w:rPr>
        <w:sz w:val="18"/>
      </w:rPr>
      <w:t>9/28/2025</w:t>
    </w:r>
    <w:r>
      <w:rPr>
        <w:sz w:val="18"/>
      </w:rPr>
      <w:fldChar w:fldCharType="end"/>
    </w:r>
  </w:p>
  <w:p>
    <w:pPr>
      <w:pStyle w:val="Header"/>
      <w:rPr/>
    </w:pPr>
    <w:r>
      <w:rPr>
        <w:sz w:val="18"/>
      </w:rPr>
      <w:t xml:space="preserve">Page </w:t>
    </w:r>
    <w:r>
      <w:rPr>
        <w:sz w:val="18"/>
      </w:rPr>
      <w:fldChar w:fldCharType="begin"/>
    </w:r>
    <w:r>
      <w:rPr>
        <w:sz w:val="18"/>
      </w:rPr>
      <w:instrText xml:space="preserve"> PAGE </w:instrText>
    </w:r>
    <w:r>
      <w:rPr>
        <w:sz w:val="18"/>
      </w:rPr>
      <w:fldChar w:fldCharType="separate"/>
    </w:r>
    <w:r>
      <w:rPr>
        <w:sz w:val="18"/>
      </w:rPr>
      <w:t>2</w:t>
    </w:r>
    <w:r>
      <w:rPr>
        <w:sz w:val="1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32"/>
        </w:tabs>
        <w:ind w:start="432"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153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2001-05-02T19:53:00Z</dcterms:created>
  <dc:creator>fgrant</dc:creator>
  <dc:description/>
  <dc:language>en-CA</dc:language>
  <cp:lastModifiedBy>fgrant</cp:lastModifiedBy>
  <cp:lastPrinted>2001-05-03T14:43:00Z</cp:lastPrinted>
  <dcterms:modified xsi:type="dcterms:W3CDTF">2001-05-03T16:37:00Z</dcterms:modified>
  <cp:revision>5</cp:revision>
  <dc:subject>Tractebel Meeting</dc:subject>
  <dc:title> </dc:title>
</cp:coreProperties>
</file>