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b/>
          <w:bCs/>
        </w:rPr>
      </w:pPr>
      <w:r>
        <w:rPr>
          <w:b/>
          <w:bCs/>
        </w:rPr>
        <w:t>Customer Choice in Nevada</w:t>
      </w:r>
    </w:p>
    <w:p>
      <w:pPr>
        <w:pStyle w:val="Heading1"/>
        <w:rPr>
          <w:b/>
          <w:bCs/>
        </w:rPr>
      </w:pPr>
      <w:r>
        <w:rPr>
          <w:b/>
          <w:bCs/>
        </w:rPr>
      </w:r>
    </w:p>
    <w:p>
      <w:pPr>
        <w:pStyle w:val="Heading1"/>
        <w:ind w:start="0" w:end="0"/>
        <w:rPr>
          <w:b/>
          <w:bCs/>
          <w:szCs w:val="20"/>
        </w:rPr>
      </w:pPr>
      <w:r>
        <w:rPr>
          <w:b/>
          <w:bCs/>
        </w:rPr>
        <w:t xml:space="preserve">Nevada Assembly Bill No. 369/2001 – Repeals provisions pertaining to the competitive provision of retail electric service </w:t>
      </w:r>
    </w:p>
    <w:p>
      <w:pPr>
        <w:pStyle w:val="Heading1"/>
        <w:ind w:start="0" w:end="0"/>
        <w:rPr>
          <w:b/>
          <w:bCs/>
          <w:szCs w:val="20"/>
        </w:rPr>
      </w:pPr>
      <w:r>
        <w:rPr>
          <w:b/>
          <w:bCs/>
          <w:szCs w:val="20"/>
        </w:rPr>
      </w:r>
    </w:p>
    <w:p>
      <w:pPr>
        <w:pStyle w:val="Normal"/>
        <w:rPr>
          <w:b/>
          <w:bCs/>
        </w:rPr>
      </w:pPr>
      <w:r>
        <w:rPr>
          <w:rFonts w:cs="Arial" w:ascii="Arial" w:hAnsi="Arial"/>
          <w:b/>
          <w:bCs/>
          <w:color w:val="000000"/>
          <w:sz w:val="22"/>
          <w:szCs w:val="28"/>
        </w:rPr>
        <w:t>Background:</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color w:val="000000"/>
          <w:sz w:val="22"/>
          <w:szCs w:val="28"/>
        </w:rPr>
        <w:t>In 1997, the legislature enacted comprehensive legislation designed to prepare the electric industry in this state for retail competition.</w:t>
      </w:r>
      <w:r>
        <w:rPr>
          <w:rFonts w:cs="Arial" w:ascii="Arial" w:hAnsi="Arial"/>
          <w:sz w:val="22"/>
          <w:szCs w:val="20"/>
        </w:rPr>
        <w:t xml:space="preserve"> </w:t>
      </w:r>
      <w:r>
        <w:rPr>
          <w:rFonts w:cs="Arial" w:ascii="Arial" w:hAnsi="Arial"/>
          <w:color w:val="000000"/>
          <w:sz w:val="22"/>
          <w:szCs w:val="28"/>
        </w:rPr>
        <w:t>In 1999, the legislature enacted additional legislation delaying the onset of such competition until March 1, 2000, unless a determination was made that a later date was necessary to protect the public interest.</w:t>
      </w:r>
    </w:p>
    <w:p>
      <w:pPr>
        <w:pStyle w:val="Normal"/>
        <w:overflowPunct w:val="false"/>
        <w:autoSpaceDE w:val="false"/>
        <w:spacing w:lineRule="atLeast" w:line="243"/>
        <w:jc w:val="both"/>
        <w:rPr>
          <w:rFonts w:ascii="Arial" w:hAnsi="Arial" w:cs="Arial"/>
          <w:b/>
          <w:bCs/>
          <w:sz w:val="22"/>
          <w:szCs w:val="20"/>
        </w:rPr>
      </w:pPr>
      <w:r>
        <w:rPr>
          <w:rFonts w:cs="Arial" w:ascii="Arial" w:hAnsi="Arial"/>
          <w:b/>
          <w:bCs/>
          <w:sz w:val="22"/>
          <w:szCs w:val="20"/>
        </w:rPr>
        <w:t>Retail competition:</w:t>
      </w:r>
    </w:p>
    <w:p>
      <w:pPr>
        <w:pStyle w:val="Normal"/>
        <w:numPr>
          <w:ilvl w:val="0"/>
          <w:numId w:val="8"/>
        </w:numPr>
        <w:overflowPunct w:val="false"/>
        <w:autoSpaceDE w:val="false"/>
        <w:spacing w:lineRule="atLeast" w:line="261"/>
        <w:jc w:val="both"/>
        <w:rPr>
          <w:rFonts w:ascii="Arial" w:hAnsi="Arial" w:cs="Arial"/>
          <w:sz w:val="22"/>
          <w:szCs w:val="20"/>
        </w:rPr>
      </w:pPr>
      <w:r>
        <w:rPr>
          <w:rFonts w:cs="Arial" w:ascii="Arial" w:hAnsi="Arial"/>
          <w:sz w:val="22"/>
        </w:rPr>
        <w:t>The Assembly Bill No. 369 makes a</w:t>
      </w:r>
      <w:r>
        <w:rPr>
          <w:rFonts w:cs="Arial" w:ascii="Arial" w:hAnsi="Arial"/>
          <w:caps/>
          <w:color w:val="000000"/>
          <w:sz w:val="22"/>
          <w:szCs w:val="28"/>
        </w:rPr>
        <w:t xml:space="preserve"> </w:t>
      </w:r>
      <w:r>
        <w:rPr>
          <w:rFonts w:cs="Arial" w:ascii="Arial" w:hAnsi="Arial"/>
          <w:color w:val="000000"/>
          <w:sz w:val="22"/>
          <w:szCs w:val="28"/>
        </w:rPr>
        <w:t>determination that commencement of retail competition in the electric industry is not yet in the public interest of Nevada.</w:t>
      </w:r>
    </w:p>
    <w:p>
      <w:pPr>
        <w:pStyle w:val="BodyText"/>
        <w:numPr>
          <w:ilvl w:val="0"/>
          <w:numId w:val="8"/>
        </w:numPr>
        <w:rPr>
          <w:rFonts w:ascii="Arial" w:hAnsi="Arial" w:cs="Arial"/>
          <w:sz w:val="22"/>
          <w:szCs w:val="20"/>
        </w:rPr>
      </w:pPr>
      <w:r>
        <w:rPr>
          <w:rFonts w:cs="Arial" w:ascii="Arial" w:hAnsi="Arial"/>
          <w:sz w:val="22"/>
        </w:rPr>
        <w:t xml:space="preserve">It is considered that until the severe and ongoing crisis in the electric industry in the western United States has sufficiently abated, the state must maintain its comprehensive regulation over electric utilities and its traditionally broad jurisdiction and control over electric generation assets to promote stability and predictability in the electric industry, to foster confidence in the financial markets, to ensure that consumers have adequate and reliable electric service and to protect the public from unjust and unreasonable utility rates. </w:t>
      </w:r>
    </w:p>
    <w:p>
      <w:pPr>
        <w:pStyle w:val="Normal"/>
        <w:overflowPunct w:val="false"/>
        <w:autoSpaceDE w:val="false"/>
        <w:spacing w:lineRule="atLeast" w:line="243"/>
        <w:rPr>
          <w:rFonts w:ascii="Arial" w:hAnsi="Arial" w:cs="Arial"/>
          <w:sz w:val="22"/>
          <w:szCs w:val="20"/>
        </w:rPr>
      </w:pPr>
      <w:r>
        <w:rPr>
          <w:rFonts w:cs="Arial" w:ascii="Arial" w:hAnsi="Arial"/>
          <w:sz w:val="22"/>
          <w:szCs w:val="20"/>
        </w:rPr>
      </w:r>
    </w:p>
    <w:p>
      <w:pPr>
        <w:pStyle w:val="BodyTextIndent"/>
        <w:ind w:start="0" w:end="0"/>
        <w:jc w:val="both"/>
        <w:rPr/>
      </w:pPr>
      <w:r>
        <w:rPr>
          <w:b/>
          <w:bCs/>
        </w:rPr>
        <w:t>Nevada Assembly Bill No. 661/2001 - A</w:t>
      </w:r>
      <w:r>
        <w:rPr>
          <w:b/>
          <w:bCs/>
          <w:szCs w:val="22"/>
        </w:rPr>
        <w:t>uthorizes eligible customers to purchase electrical energy, capacity and ancillary services from providers of new electric resources</w:t>
      </w:r>
      <w:r>
        <w:rPr>
          <w:b/>
          <w:bCs/>
        </w:rPr>
        <w:t xml:space="preserve"> </w:t>
      </w:r>
    </w:p>
    <w:p>
      <w:pPr>
        <w:pStyle w:val="Normal"/>
        <w:overflowPunct w:val="false"/>
        <w:autoSpaceDE w:val="false"/>
        <w:spacing w:lineRule="atLeast" w:line="243"/>
        <w:rPr>
          <w:rFonts w:ascii="Arial" w:hAnsi="Arial" w:cs="Arial"/>
          <w:b/>
          <w:bCs/>
          <w:sz w:val="22"/>
          <w:szCs w:val="20"/>
        </w:rPr>
      </w:pPr>
      <w:r>
        <w:rPr>
          <w:rFonts w:cs="Arial" w:ascii="Arial" w:hAnsi="Arial"/>
          <w:b/>
          <w:bCs/>
          <w:sz w:val="22"/>
          <w:szCs w:val="20"/>
        </w:rPr>
      </w:r>
    </w:p>
    <w:p>
      <w:pPr>
        <w:pStyle w:val="Normal"/>
        <w:overflowPunct w:val="false"/>
        <w:autoSpaceDE w:val="false"/>
        <w:spacing w:lineRule="atLeast" w:line="243"/>
        <w:rPr>
          <w:rFonts w:ascii="Arial" w:hAnsi="Arial" w:cs="Arial"/>
          <w:b/>
          <w:bCs/>
          <w:sz w:val="22"/>
          <w:szCs w:val="20"/>
        </w:rPr>
      </w:pPr>
      <w:r>
        <w:rPr>
          <w:rFonts w:cs="Arial" w:ascii="Arial" w:hAnsi="Arial"/>
          <w:b/>
          <w:bCs/>
          <w:color w:val="000000"/>
          <w:sz w:val="22"/>
          <w:szCs w:val="28"/>
        </w:rPr>
        <w:t>Background:</w:t>
      </w:r>
    </w:p>
    <w:p>
      <w:pPr>
        <w:pStyle w:val="BodyText2"/>
        <w:numPr>
          <w:ilvl w:val="0"/>
          <w:numId w:val="8"/>
        </w:numPr>
        <w:rPr/>
      </w:pPr>
      <w:r>
        <w:rPr/>
        <w:t>It is considered that the development and use of new generation assets and other new electric resources by eligible customers would permit the electric utilities in this state to reduce their dependence on purchases of excessively priced electricity from dysfunctional, short-term energy markets and would thereby reduce the average system costs for such electric utilities. The development and use of new generation assets and other new electric resources can be encouraged by allowing eligible customers to use their own resources, initiative, expertise and credit to develop, access and enter into agreements for the purchase of electricity from new generation assets and other new electric resources</w:t>
      </w:r>
    </w:p>
    <w:p>
      <w:pPr>
        <w:pStyle w:val="Normal"/>
        <w:overflowPunct w:val="false"/>
        <w:autoSpaceDE w:val="false"/>
        <w:spacing w:lineRule="atLeast" w:line="243"/>
        <w:jc w:val="both"/>
        <w:rPr>
          <w:rFonts w:ascii="Arial" w:hAnsi="Arial" w:cs="Arial"/>
          <w:b/>
          <w:bCs/>
          <w:sz w:val="22"/>
          <w:szCs w:val="20"/>
        </w:rPr>
      </w:pPr>
      <w:r>
        <w:rPr>
          <w:rFonts w:cs="Arial" w:ascii="Arial" w:hAnsi="Arial"/>
          <w:b/>
          <w:bCs/>
          <w:sz w:val="22"/>
          <w:szCs w:val="20"/>
        </w:rPr>
        <w:t>Definitions:</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w:t>
      </w:r>
      <w:r>
        <w:rPr>
          <w:rFonts w:cs="Arial" w:ascii="Arial" w:hAnsi="Arial"/>
          <w:sz w:val="22"/>
          <w:szCs w:val="20"/>
        </w:rPr>
        <w:t>Eligible customer” means an end-use customer which is:</w:t>
      </w:r>
    </w:p>
    <w:p>
      <w:pPr>
        <w:pStyle w:val="Normal"/>
        <w:numPr>
          <w:ilvl w:val="0"/>
          <w:numId w:val="4"/>
        </w:numPr>
        <w:overflowPunct w:val="false"/>
        <w:autoSpaceDE w:val="false"/>
        <w:spacing w:lineRule="atLeast" w:line="243"/>
        <w:jc w:val="both"/>
        <w:rPr>
          <w:rFonts w:ascii="Arial" w:hAnsi="Arial" w:cs="Arial"/>
          <w:sz w:val="22"/>
          <w:szCs w:val="20"/>
        </w:rPr>
      </w:pPr>
      <w:r>
        <w:rPr>
          <w:rFonts w:cs="Arial" w:ascii="Arial" w:hAnsi="Arial"/>
          <w:sz w:val="22"/>
          <w:szCs w:val="20"/>
        </w:rPr>
        <w:t>A nongovernmental commercial or industrial end-use customer that has an average annual load of 1 megawatt or more in the service territory of an electric utility.</w:t>
      </w:r>
    </w:p>
    <w:p>
      <w:pPr>
        <w:pStyle w:val="Normal"/>
        <w:numPr>
          <w:ilvl w:val="0"/>
          <w:numId w:val="4"/>
        </w:numPr>
        <w:overflowPunct w:val="false"/>
        <w:autoSpaceDE w:val="false"/>
        <w:spacing w:lineRule="atLeast" w:line="243"/>
        <w:jc w:val="both"/>
        <w:rPr>
          <w:rFonts w:ascii="Arial" w:hAnsi="Arial" w:cs="Arial"/>
          <w:sz w:val="22"/>
          <w:szCs w:val="20"/>
        </w:rPr>
      </w:pPr>
      <w:r>
        <w:rPr>
          <w:rFonts w:cs="Arial" w:ascii="Arial" w:hAnsi="Arial"/>
          <w:sz w:val="22"/>
          <w:szCs w:val="20"/>
        </w:rPr>
        <w:t>A governmental entity, including, without limitation, a governmental entity providing educational or health care services, that:   (a) Performs its functions using one or more facilities which are operated under a common budget and common control; and (b) Has an average annual load of 1 megawatt or more in the service territory of an electric utility.</w:t>
      </w:r>
    </w:p>
    <w:p>
      <w:pPr>
        <w:pStyle w:val="Normal"/>
        <w:numPr>
          <w:ilvl w:val="0"/>
          <w:numId w:val="5"/>
        </w:numPr>
        <w:overflowPunct w:val="false"/>
        <w:autoSpaceDE w:val="false"/>
        <w:spacing w:lineRule="atLeast" w:line="243"/>
        <w:jc w:val="both"/>
        <w:rPr>
          <w:rFonts w:ascii="Arial" w:hAnsi="Arial" w:cs="Arial"/>
          <w:sz w:val="22"/>
          <w:szCs w:val="20"/>
        </w:rPr>
      </w:pPr>
      <w:r>
        <w:rPr>
          <w:rFonts w:cs="Arial" w:ascii="Arial" w:hAnsi="Arial"/>
          <w:sz w:val="22"/>
          <w:szCs w:val="20"/>
        </w:rPr>
        <w:t>“</w:t>
      </w:r>
      <w:r>
        <w:rPr>
          <w:rFonts w:cs="Arial" w:ascii="Arial" w:hAnsi="Arial"/>
          <w:sz w:val="22"/>
          <w:szCs w:val="20"/>
        </w:rPr>
        <w:t>New electric resource” means:</w:t>
      </w:r>
    </w:p>
    <w:p>
      <w:pPr>
        <w:pStyle w:val="Normal"/>
        <w:numPr>
          <w:ilvl w:val="0"/>
          <w:numId w:val="7"/>
        </w:numPr>
        <w:overflowPunct w:val="false"/>
        <w:autoSpaceDE w:val="false"/>
        <w:spacing w:lineRule="atLeast" w:line="243"/>
        <w:jc w:val="both"/>
        <w:rPr>
          <w:rFonts w:ascii="Arial" w:hAnsi="Arial" w:cs="Arial"/>
          <w:sz w:val="22"/>
          <w:szCs w:val="20"/>
        </w:rPr>
      </w:pPr>
      <w:r>
        <w:rPr>
          <w:rFonts w:cs="Arial" w:ascii="Arial" w:hAnsi="Arial"/>
          <w:sz w:val="22"/>
          <w:szCs w:val="20"/>
        </w:rPr>
        <w:t>The energy, capacity or ancillary services and any increased or additional energy, capacity or ancillary services which are: (a) Made available from a generation asset that is not owned by an electric utility or is not subject to contractual commitments to an electric utility that make the energy, capacity or ancillary services from the generation asset unavailable for purchase by an eligible customer; and (b) Able to be delivered to an eligible customer.</w:t>
      </w:r>
    </w:p>
    <w:p>
      <w:pPr>
        <w:pStyle w:val="Normal"/>
        <w:numPr>
          <w:ilvl w:val="0"/>
          <w:numId w:val="7"/>
        </w:numPr>
        <w:overflowPunct w:val="false"/>
        <w:autoSpaceDE w:val="false"/>
        <w:spacing w:lineRule="atLeast" w:line="243"/>
        <w:jc w:val="both"/>
        <w:rPr>
          <w:rFonts w:ascii="Arial" w:hAnsi="Arial" w:cs="Arial"/>
          <w:sz w:val="22"/>
          <w:szCs w:val="20"/>
        </w:rPr>
      </w:pPr>
      <w:r>
        <w:rPr>
          <w:rFonts w:cs="Arial" w:ascii="Arial" w:hAnsi="Arial"/>
          <w:sz w:val="22"/>
          <w:szCs w:val="20"/>
        </w:rPr>
        <w:t>Any increased energy, capacity or ancillary services made available from a generation asset pursuant to an agreement described in section 18 of this act (agreements between electric utilities and third parties related to the utility’s generation assets and the services provided by them).</w:t>
      </w:r>
    </w:p>
    <w:p>
      <w:pPr>
        <w:pStyle w:val="BodyTextIndent"/>
        <w:ind w:start="0" w:end="0"/>
        <w:rPr>
          <w:b/>
          <w:bCs/>
          <w:u w:val="none"/>
        </w:rPr>
      </w:pPr>
      <w:r>
        <w:rPr>
          <w:b/>
          <w:bCs/>
          <w:u w:val="none"/>
        </w:rPr>
        <w:t xml:space="preserve">Requirements: </w:t>
      </w:r>
    </w:p>
    <w:p>
      <w:pPr>
        <w:pStyle w:val="BodyTextIndent"/>
        <w:jc w:val="both"/>
        <w:rPr>
          <w:u w:val="none"/>
          <w:lang w:val="es-AR"/>
        </w:rPr>
      </w:pPr>
      <w:r>
        <w:rPr>
          <w:u w:val="none"/>
        </w:rPr>
        <w:t>AB 661 stipulates the following requirements for commercial and industrial customers seeking to contract with an electric resources provider:</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customer must have an average annual load of 1 megawatt or more (section 10) and a time-of-use meter installed at the point of delivery (section 23). Not more than one person or entity may sell the energy that is delivered to an eligible customer through any one time-of-use meter.</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eligible customer must file an application with the public utilities commission no later than 180 days before the date that the customer intends to purchase energy services from the provider of new electric resources (section 20).</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commission should approve the application by a written order (section 20.1). The commission shall order such terms, conditions and payments as the commission deems necessary and appropriate to ensure that the proposed transaction will not be contrary to the public interest (section 20.7). However, if the commission does not enter a final order on the application of the eligible customer within 90 days after the date on which the application was filed with the commission, the application shall be deemed to be approved by the commission (section 20.8).</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public utilities commission may not approve a customer’s application if it finds that the proposed sale of energy services is not in the public interest.  AB 661 states that the commission must take three factors into account in making this determination: 1) Whether the electric utility will be burdened by increased costs as a result of the proposed transaction or whether any remaining customer of the utility will pay increased costs for electric service as a result of the transaction; 2) Whether the proposed provision of electric service will impair system reliability or the ability of the utility to provide electric service to its remaining customers; 3) Whether the transaction will add energy, capacity or ancillary services to the supply in Nevada (section 20.6).</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For densely populated regions (i.e., Nevada Power territory/ southern Nevada):</w:t>
      </w:r>
    </w:p>
    <w:p>
      <w:pPr>
        <w:pStyle w:val="Normal"/>
        <w:numPr>
          <w:ilvl w:val="1"/>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aggregate amount of energy that all such eligible customers purchase from providers of new electric resources before July 1, 2003, must not exceed 50% of the difference between the existing supply of energy generated in Nevada that is available to the electric utility and the existing demand for energy in this state that is consumed by the customers of the electric utility.</w:t>
      </w:r>
    </w:p>
    <w:p>
      <w:pPr>
        <w:pStyle w:val="Normal"/>
        <w:numPr>
          <w:ilvl w:val="1"/>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customer must purchase at the same price, terms and conditions an additional amount of energy (and the associated capacity and ancillary services) that is equal to 10% of the customer’s total purchase for its own use under the proposed transaction and offer to assign the rights to the contract to the electrical utility for the use by the remaining customers of the electrical utility (section 21).</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The customer must disclose the amount and price of energy, capacity and ancillary services to be purchased, and the duration of the contract.  Note that AB 661 states that this information must not be disclosed except to the regulatory operations staff of the commission, the consumer’s advocate and his staff and the electric utility (sections 20.2; 20.3; 21.3 and 21.4).</w:t>
      </w:r>
    </w:p>
    <w:p>
      <w:pPr>
        <w:pStyle w:val="Heading2"/>
        <w:ind w:hanging="0" w:start="0"/>
        <w:rPr/>
      </w:pPr>
      <w:r>
        <w:rPr/>
        <w:t>Timeline</w:t>
      </w:r>
    </w:p>
    <w:p>
      <w:pPr>
        <w:pStyle w:val="Normal"/>
        <w:numPr>
          <w:ilvl w:val="0"/>
          <w:numId w:val="8"/>
        </w:numPr>
        <w:overflowPunct w:val="false"/>
        <w:autoSpaceDE w:val="false"/>
        <w:spacing w:lineRule="atLeast" w:line="243"/>
        <w:jc w:val="both"/>
        <w:rPr>
          <w:rFonts w:ascii="Arial" w:hAnsi="Arial" w:cs="Arial"/>
          <w:sz w:val="22"/>
          <w:szCs w:val="20"/>
        </w:rPr>
      </w:pPr>
      <w:r>
        <w:rPr>
          <w:rFonts w:cs="Arial" w:ascii="Arial" w:hAnsi="Arial"/>
          <w:sz w:val="22"/>
          <w:szCs w:val="20"/>
        </w:rPr>
        <w:t>Providers of new electric resources will be able to sell energy, capacity or ancillary services commencing on the following dates (section 19):</w:t>
      </w:r>
    </w:p>
    <w:p>
      <w:pPr>
        <w:pStyle w:val="Normal"/>
        <w:numPr>
          <w:ilvl w:val="1"/>
          <w:numId w:val="8"/>
        </w:numPr>
        <w:overflowPunct w:val="false"/>
        <w:autoSpaceDE w:val="false"/>
        <w:spacing w:lineRule="atLeast" w:line="243"/>
        <w:jc w:val="both"/>
        <w:rPr>
          <w:rFonts w:ascii="Arial" w:hAnsi="Arial" w:cs="Arial"/>
          <w:sz w:val="22"/>
          <w:szCs w:val="20"/>
        </w:rPr>
      </w:pPr>
      <w:r>
        <w:rPr>
          <w:rFonts w:cs="Arial" w:ascii="Arial" w:hAnsi="Arial"/>
          <w:sz w:val="22"/>
          <w:szCs w:val="20"/>
        </w:rPr>
        <w:t>April 1, 2002 in the service territory of an electric utility that primarily serves less densely populated counties (i.e., Sierra Pacific/ northern Nevada markets);</w:t>
      </w:r>
    </w:p>
    <w:p>
      <w:pPr>
        <w:pStyle w:val="Normal"/>
        <w:numPr>
          <w:ilvl w:val="1"/>
          <w:numId w:val="8"/>
        </w:numPr>
        <w:overflowPunct w:val="false"/>
        <w:autoSpaceDE w:val="false"/>
        <w:spacing w:lineRule="atLeast" w:line="243"/>
        <w:jc w:val="both"/>
        <w:rPr>
          <w:rFonts w:ascii="Arial" w:hAnsi="Arial" w:cs="Arial"/>
          <w:sz w:val="22"/>
          <w:szCs w:val="20"/>
        </w:rPr>
      </w:pPr>
      <w:r>
        <w:rPr>
          <w:rFonts w:cs="Arial" w:ascii="Arial" w:hAnsi="Arial"/>
          <w:sz w:val="22"/>
          <w:szCs w:val="20"/>
        </w:rPr>
        <w:t>June 1, 2002 in the service territory of an electric utility that primarily serves densely populated counties (i.e., Nevada Power/ southern Nevada markets).</w:t>
      </w:r>
    </w:p>
    <w:p>
      <w:pPr>
        <w:pStyle w:val="Heading2"/>
        <w:ind w:hanging="0" w:start="0"/>
        <w:rPr/>
      </w:pPr>
      <w:r>
        <w:rPr/>
        <w:t>Tariffs</w:t>
      </w:r>
    </w:p>
    <w:p>
      <w:pPr>
        <w:pStyle w:val="BodyTextIndent2"/>
        <w:numPr>
          <w:ilvl w:val="0"/>
          <w:numId w:val="6"/>
        </w:numPr>
        <w:rPr/>
      </w:pPr>
      <w:r>
        <w:rPr/>
        <w:t>The tariffs approved by the commission pursuant to this section must include, without limitation:</w:t>
      </w:r>
    </w:p>
    <w:p>
      <w:pPr>
        <w:pStyle w:val="Normal"/>
        <w:numPr>
          <w:ilvl w:val="0"/>
          <w:numId w:val="2"/>
        </w:numPr>
        <w:overflowPunct w:val="false"/>
        <w:autoSpaceDE w:val="false"/>
        <w:spacing w:lineRule="atLeast" w:line="243"/>
        <w:jc w:val="both"/>
        <w:rPr>
          <w:rFonts w:ascii="Arial" w:hAnsi="Arial" w:cs="Arial"/>
          <w:sz w:val="22"/>
          <w:szCs w:val="20"/>
        </w:rPr>
      </w:pPr>
      <w:r>
        <w:rPr>
          <w:rFonts w:cs="Arial" w:ascii="Arial" w:hAnsi="Arial"/>
          <w:sz w:val="22"/>
          <w:szCs w:val="20"/>
        </w:rPr>
        <w:t>Provisions requiring the eligible customer to pay any incremental costs that are incurred by the electric utility to provide energy to the eligible customer;</w:t>
      </w:r>
    </w:p>
    <w:p>
      <w:pPr>
        <w:pStyle w:val="Normal"/>
        <w:numPr>
          <w:ilvl w:val="0"/>
          <w:numId w:val="2"/>
        </w:numPr>
        <w:overflowPunct w:val="false"/>
        <w:autoSpaceDE w:val="false"/>
        <w:spacing w:lineRule="atLeast" w:line="243"/>
        <w:jc w:val="both"/>
        <w:rPr>
          <w:rFonts w:ascii="Arial" w:hAnsi="Arial" w:cs="Arial"/>
          <w:sz w:val="22"/>
          <w:szCs w:val="20"/>
        </w:rPr>
      </w:pPr>
      <w:r>
        <w:rPr>
          <w:rFonts w:cs="Arial" w:ascii="Arial" w:hAnsi="Arial"/>
          <w:sz w:val="22"/>
          <w:szCs w:val="20"/>
        </w:rPr>
        <w:t>Provisions requiring the eligible customer to provide reasonable and adequate notice to the electric utility;</w:t>
      </w:r>
    </w:p>
    <w:p>
      <w:pPr>
        <w:pStyle w:val="Normal"/>
        <w:numPr>
          <w:ilvl w:val="0"/>
          <w:numId w:val="2"/>
        </w:numPr>
        <w:overflowPunct w:val="false"/>
        <w:autoSpaceDE w:val="false"/>
        <w:spacing w:lineRule="atLeast" w:line="243"/>
        <w:jc w:val="both"/>
        <w:rPr>
          <w:rFonts w:ascii="Arial" w:hAnsi="Arial" w:cs="Arial"/>
          <w:sz w:val="22"/>
          <w:szCs w:val="20"/>
        </w:rPr>
      </w:pPr>
      <w:r>
        <w:rPr>
          <w:rFonts w:cs="Arial" w:ascii="Arial" w:hAnsi="Arial"/>
          <w:sz w:val="22"/>
          <w:szCs w:val="20"/>
        </w:rPr>
        <w:t>Provisions establishing minimum terms during which the eligible customer must continue to purchase energy from the electric utility (section 22).</w:t>
      </w:r>
    </w:p>
    <w:p>
      <w:pPr>
        <w:pStyle w:val="Heading2"/>
        <w:ind w:hanging="0" w:start="0"/>
        <w:rPr/>
      </w:pPr>
      <w:r>
        <w:rPr/>
        <w:t>Rates and next steps</w:t>
      </w:r>
    </w:p>
    <w:p>
      <w:pPr>
        <w:pStyle w:val="BodyText2"/>
        <w:numPr>
          <w:ilvl w:val="2"/>
          <w:numId w:val="2"/>
        </w:numPr>
        <w:rPr/>
      </w:pPr>
      <w:r>
        <w:rPr/>
        <w:t>An electric utility that provides distribution services to an eligible customer who is purchasing from a provider of new electric resources shall charge the eligible customer based upon the rates for the electric utility’s distribution services that were on file with the commission on April 1, 2001, until the commission approves a change in those rates and such a change becomes effective (section 106).</w:t>
      </w:r>
    </w:p>
    <w:p>
      <w:pPr>
        <w:pStyle w:val="Normal"/>
        <w:numPr>
          <w:ilvl w:val="2"/>
          <w:numId w:val="2"/>
        </w:numPr>
        <w:overflowPunct w:val="false"/>
        <w:autoSpaceDE w:val="false"/>
        <w:spacing w:lineRule="atLeast" w:line="243"/>
        <w:jc w:val="both"/>
        <w:rPr>
          <w:rFonts w:ascii="Arial" w:hAnsi="Arial" w:cs="Arial"/>
          <w:sz w:val="22"/>
          <w:szCs w:val="20"/>
        </w:rPr>
      </w:pPr>
      <w:r>
        <w:rPr>
          <w:rFonts w:cs="Arial" w:ascii="Arial" w:hAnsi="Arial"/>
          <w:sz w:val="22"/>
          <w:szCs w:val="20"/>
        </w:rPr>
        <w:t xml:space="preserve">Not later than March 1, 2002, the commission shall establish the initial rates for all other components of electric service which are within the jurisdiction of the commission and which are necessary for a provider of new electric resources to sell to an eligible customer. </w:t>
      </w:r>
    </w:p>
    <w:p>
      <w:pPr>
        <w:pStyle w:val="Normal"/>
        <w:overflowPunct w:val="false"/>
        <w:autoSpaceDE w:val="false"/>
        <w:spacing w:lineRule="atLeast" w:line="243"/>
        <w:ind w:start="360" w:end="0"/>
        <w:jc w:val="both"/>
        <w:rPr>
          <w:rFonts w:ascii="Arial" w:hAnsi="Arial" w:cs="Arial"/>
          <w:sz w:val="22"/>
          <w:szCs w:val="20"/>
        </w:rPr>
      </w:pPr>
      <w:r>
        <w:rPr>
          <w:rFonts w:cs="Arial" w:ascii="Arial" w:hAnsi="Arial"/>
          <w:sz w:val="22"/>
          <w:szCs w:val="20"/>
        </w:rPr>
        <w:t>Besides the commission shall:</w:t>
      </w:r>
    </w:p>
    <w:p>
      <w:pPr>
        <w:pStyle w:val="Normal"/>
        <w:numPr>
          <w:ilvl w:val="0"/>
          <w:numId w:val="3"/>
        </w:numPr>
        <w:overflowPunct w:val="false"/>
        <w:autoSpaceDE w:val="false"/>
        <w:spacing w:lineRule="atLeast" w:line="243"/>
        <w:jc w:val="both"/>
        <w:rPr>
          <w:rFonts w:ascii="Arial" w:hAnsi="Arial" w:cs="Arial"/>
          <w:sz w:val="22"/>
          <w:szCs w:val="20"/>
        </w:rPr>
      </w:pPr>
      <w:r>
        <w:rPr>
          <w:rFonts w:cs="Arial" w:ascii="Arial" w:hAnsi="Arial"/>
          <w:sz w:val="22"/>
          <w:szCs w:val="20"/>
        </w:rPr>
        <w:t>Not later than November 1, 2001, adopt regulations to carry out and enforce the provisions of sections 3 to 26 (those authorizing eligible customers to purchase from providers of new electric resources), of this act.</w:t>
      </w:r>
    </w:p>
    <w:p>
      <w:pPr>
        <w:pStyle w:val="Normal"/>
        <w:numPr>
          <w:ilvl w:val="0"/>
          <w:numId w:val="3"/>
        </w:numPr>
        <w:overflowPunct w:val="false"/>
        <w:autoSpaceDE w:val="false"/>
        <w:spacing w:lineRule="atLeast" w:line="243"/>
        <w:jc w:val="both"/>
        <w:rPr>
          <w:rFonts w:ascii="Arial" w:hAnsi="Arial" w:cs="Arial"/>
          <w:sz w:val="22"/>
          <w:szCs w:val="20"/>
        </w:rPr>
      </w:pPr>
      <w:r>
        <w:rPr>
          <w:rFonts w:cs="Arial" w:ascii="Arial" w:hAnsi="Arial"/>
          <w:sz w:val="22"/>
          <w:szCs w:val="20"/>
        </w:rPr>
        <w:t>Not later than March 1, 2002, approve tariffs to carry out and enforce the provisions of section 22 (Tariffs).</w:t>
      </w:r>
    </w:p>
    <w:p>
      <w:pPr>
        <w:pStyle w:val="Normal"/>
        <w:overflowPunct w:val="false"/>
        <w:autoSpaceDE w:val="false"/>
        <w:spacing w:lineRule="atLeast" w:line="243"/>
        <w:jc w:val="both"/>
        <w:rPr>
          <w:rFonts w:ascii="Arial" w:hAnsi="Arial" w:cs="Arial"/>
          <w:sz w:val="22"/>
          <w:szCs w:val="20"/>
        </w:rPr>
      </w:pPr>
      <w:r>
        <w:rPr>
          <w:rFonts w:cs="Arial" w:ascii="Arial" w:hAnsi="Arial"/>
          <w:sz w:val="22"/>
          <w:szCs w:val="20"/>
        </w:rPr>
        <w:t>-</w:t>
      </w:r>
    </w:p>
    <w:p>
      <w:pPr>
        <w:pStyle w:val="Normal"/>
        <w:overflowPunct w:val="false"/>
        <w:autoSpaceDE w:val="false"/>
        <w:spacing w:lineRule="atLeast" w:line="243"/>
        <w:jc w:val="both"/>
        <w:rPr>
          <w:rFonts w:ascii="Arial" w:hAnsi="Arial" w:cs="Arial"/>
          <w:sz w:val="22"/>
          <w:szCs w:val="20"/>
        </w:rPr>
      </w:pPr>
      <w:r>
        <w:rPr>
          <w:rFonts w:cs="Arial" w:ascii="Arial" w:hAnsi="Arial"/>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720"/>
        </w:tabs>
        <w:ind w:start="72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verflowPunct w:val="false"/>
      <w:autoSpaceDE w:val="false"/>
      <w:spacing w:lineRule="atLeast" w:line="243"/>
      <w:ind w:hanging="0" w:start="360" w:end="0"/>
      <w:jc w:val="both"/>
      <w:outlineLvl w:val="0"/>
    </w:pPr>
    <w:rPr>
      <w:rFonts w:ascii="Arial" w:hAnsi="Arial" w:cs="Arial"/>
      <w:color w:val="000000"/>
      <w:sz w:val="22"/>
      <w:szCs w:val="28"/>
      <w:u w:val="single"/>
    </w:rPr>
  </w:style>
  <w:style w:type="paragraph" w:styleId="Heading2">
    <w:name w:val="heading 2"/>
    <w:basedOn w:val="Normal"/>
    <w:next w:val="Normal"/>
    <w:qFormat/>
    <w:pPr>
      <w:keepNext w:val="true"/>
      <w:numPr>
        <w:ilvl w:val="1"/>
        <w:numId w:val="1"/>
      </w:numPr>
      <w:overflowPunct w:val="false"/>
      <w:autoSpaceDE w:val="false"/>
      <w:spacing w:lineRule="atLeast" w:line="243"/>
      <w:jc w:val="both"/>
      <w:outlineLvl w:val="1"/>
    </w:pPr>
    <w:rPr>
      <w:rFonts w:ascii="Arial" w:hAnsi="Arial" w:cs="Arial"/>
      <w:b/>
      <w:bCs/>
      <w:sz w:val="22"/>
      <w:szCs w:val="20"/>
    </w:rPr>
  </w:style>
  <w:style w:type="character" w:styleId="WW8Num2z0">
    <w:name w:val="WW8Num2z0"/>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5">
    <w:name w:val="WW8Num12z5"/>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oldlang">
    <w:name w:val="oldlang"/>
    <w:basedOn w:val="DefaultParagraphFont"/>
    <w:qFormat/>
    <w:rPr>
      <w:strike/>
      <w:color w:val="FF0000"/>
    </w:rPr>
  </w:style>
  <w:style w:type="character" w:styleId="newlang">
    <w:name w:val="newlang"/>
    <w:basedOn w:val="DefaultParagraphFont"/>
    <w:qFormat/>
    <w:rPr>
      <w:b/>
      <w:bCs/>
      <w:i/>
      <w:iCs/>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lineRule="atLeast" w:line="243"/>
      <w:jc w:val="both"/>
    </w:pPr>
    <w:rPr>
      <w:color w:val="000000"/>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illupper">
    <w:name w:val="billupper"/>
    <w:basedOn w:val="Normal"/>
    <w:qFormat/>
    <w:pPr>
      <w:overflowPunct w:val="false"/>
      <w:autoSpaceDE w:val="false"/>
      <w:spacing w:lineRule="auto" w:line="480"/>
      <w:ind w:firstLine="288" w:start="0" w:end="0"/>
    </w:pPr>
    <w:rPr>
      <w:rFonts w:ascii="CG Times;Times New Roman" w:hAnsi="CG Times;Times New Roman" w:eastAsia="Arial Unicode MS" w:cs="Arial Unicode MS"/>
    </w:rPr>
  </w:style>
  <w:style w:type="paragraph" w:styleId="bdr">
    <w:name w:val="bdr"/>
    <w:basedOn w:val="Normal"/>
    <w:qFormat/>
    <w:pPr>
      <w:overflowPunct w:val="false"/>
      <w:autoSpaceDE w:val="false"/>
      <w:spacing w:lineRule="atLeast" w:line="200"/>
      <w:jc w:val="both"/>
    </w:pPr>
    <w:rPr>
      <w:rFonts w:eastAsia="Arial Unicode MS"/>
      <w:sz w:val="20"/>
      <w:szCs w:val="20"/>
    </w:rPr>
  </w:style>
  <w:style w:type="paragraph" w:styleId="sectbody">
    <w:name w:val="sectbody"/>
    <w:basedOn w:val="Normal"/>
    <w:qFormat/>
    <w:pPr>
      <w:overflowPunct w:val="false"/>
      <w:autoSpaceDE w:val="false"/>
      <w:spacing w:lineRule="atLeast" w:line="200"/>
      <w:jc w:val="both"/>
    </w:pPr>
    <w:rPr>
      <w:rFonts w:eastAsia="Arial Unicode MS"/>
      <w:sz w:val="20"/>
      <w:szCs w:val="20"/>
    </w:rPr>
  </w:style>
  <w:style w:type="paragraph" w:styleId="BodyTextIndent">
    <w:name w:val="Body Text Indent"/>
    <w:basedOn w:val="Normal"/>
    <w:pPr>
      <w:overflowPunct w:val="false"/>
      <w:autoSpaceDE w:val="false"/>
      <w:spacing w:lineRule="atLeast" w:line="243"/>
      <w:ind w:hanging="0" w:start="360" w:end="0"/>
    </w:pPr>
    <w:rPr>
      <w:rFonts w:ascii="Arial" w:hAnsi="Arial" w:cs="Arial"/>
      <w:sz w:val="22"/>
      <w:szCs w:val="20"/>
      <w:u w:val="single"/>
    </w:rPr>
  </w:style>
  <w:style w:type="paragraph" w:styleId="BodyText2">
    <w:name w:val="Body Text 2"/>
    <w:basedOn w:val="Normal"/>
    <w:qFormat/>
    <w:pPr>
      <w:overflowPunct w:val="false"/>
      <w:autoSpaceDE w:val="false"/>
      <w:spacing w:lineRule="atLeast" w:line="243"/>
      <w:jc w:val="both"/>
    </w:pPr>
    <w:rPr>
      <w:rFonts w:ascii="Arial" w:hAnsi="Arial" w:cs="Arial"/>
      <w:sz w:val="22"/>
      <w:szCs w:val="20"/>
    </w:rPr>
  </w:style>
  <w:style w:type="paragraph" w:styleId="BodyTextIndent2">
    <w:name w:val="Body Text Indent 2"/>
    <w:basedOn w:val="Normal"/>
    <w:qFormat/>
    <w:pPr>
      <w:overflowPunct w:val="false"/>
      <w:autoSpaceDE w:val="false"/>
      <w:spacing w:lineRule="atLeast" w:line="243"/>
      <w:ind w:hanging="0" w:start="720" w:end="0"/>
      <w:jc w:val="both"/>
    </w:pPr>
    <w:rPr>
      <w:rFonts w:ascii="Arial" w:hAnsi="Arial" w:cs="Arial"/>
      <w:sz w:val="2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2001-09-09T19:12:00Z</dcterms:created>
  <dc:creator>gcanovas</dc:creator>
  <dc:description/>
  <dc:language>en-CA</dc:language>
  <cp:lastModifiedBy>gcanovas</cp:lastModifiedBy>
  <dcterms:modified xsi:type="dcterms:W3CDTF">2001-09-09T19:16:00Z</dcterms:modified>
  <cp:revision>3</cp:revision>
  <dc:subject/>
  <dc:title>Assembly Bill No</dc:title>
</cp:coreProperties>
</file>