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Nevada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Gov not expected to talk about restricting asset sales.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Legislature could pass legislation restricting asset sales.  May not be constitutional; legislature still may act, but gov. still needs to sign.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Need to work on the gov.  Higgins has had conversations with gov., which he has reported as negative.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Commission reports no pressure on the issue as yet.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Higgins has pointed out that in the absence of asset sales (with the buyback provisions) rates would have to go up to accommodate the high power and gas costs.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Paul meeting with Chair and gov.’s staff on Wednesday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Gas facilities are about 60% of the capacity but only 40% of the proceeds because of the buyback provisions.  Consumer advocate opposes coal sales.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2001-01-21T19:02:00Z</dcterms:created>
  <dc:creator>skean</dc:creator>
  <dc:description/>
  <dc:language>en-CA</dc:language>
  <cp:lastModifiedBy>skean</cp:lastModifiedBy>
  <dcterms:modified xsi:type="dcterms:W3CDTF">2001-01-21T19:20:00Z</dcterms:modified>
  <cp:revision>2</cp:revision>
  <dc:subject/>
  <dc:title>Nevada</dc:title>
</cp:coreProperties>
</file>