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bookmarkStart w:id="0" w:name="Letterhead"/>
      <w:bookmarkStart w:id="1" w:name="Letterhead"/>
      <w:bookmarkEnd w:id="1"/>
      <w:r>
        <mc:AlternateContent>
          <mc:Choice Requires="wps">
            <w:drawing>
              <wp:anchor behindDoc="0" distT="0" distB="0" distL="114935" distR="114935" simplePos="0" locked="0" layoutInCell="0" allowOverlap="1" relativeHeight="3">
                <wp:simplePos x="0" y="0"/>
                <wp:positionH relativeFrom="page">
                  <wp:posOffset>237490</wp:posOffset>
                </wp:positionH>
                <wp:positionV relativeFrom="page">
                  <wp:posOffset>381000</wp:posOffset>
                </wp:positionV>
                <wp:extent cx="7362190" cy="1649095"/>
                <wp:effectExtent l="0" t="0" r="0" b="0"/>
                <wp:wrapTopAndBottom/>
                <wp:docPr id="1" name="Frame2"/>
                <a:graphic xmlns:a="http://schemas.openxmlformats.org/drawingml/2006/main">
                  <a:graphicData uri="http://schemas.microsoft.com/office/word/2010/wordprocessingShape">
                    <wps:wsp>
                      <wps:cNvSpPr txBox="1"/>
                      <wps:spPr>
                        <a:xfrm>
                          <a:off x="0" y="0"/>
                          <a:ext cx="7362190" cy="1649095"/>
                        </a:xfrm>
                        <a:prstGeom prst="rect"/>
                        <a:solidFill>
                          <a:srgbClr val="FFFFFF"/>
                        </a:solidFill>
                      </wps:spPr>
                      <wps:txbx>
                        <w:txbxContent>
                          <w:p>
                            <w:pPr>
                              <w:pStyle w:val="Normal"/>
                              <w:rPr/>
                            </w:pPr>
                            <w:r>
                              <w:rPr>
                                <w:lang w:val="en-CA" w:eastAsia="en-CA"/>
                              </w:rPr>
                            </w:r>
                            <w:r>
                              <w:rPr>
                                <w:lang w:val="en-CA" w:eastAsia="en-CA"/>
                              </w:rPr>
                            </w:r>
                          </w:p>
                        </w:txbxContent>
                      </wps:txbx>
                      <wps:bodyPr anchor="t" lIns="64135" tIns="64135" rIns="64135" bIns="64135">
                        <a:noAutofit/>
                      </wps:bodyPr>
                    </wps:wsp>
                  </a:graphicData>
                </a:graphic>
              </wp:anchor>
            </w:drawing>
          </mc:Choice>
          <mc:Fallback>
            <w:pict>
              <v:rect fillcolor="#FFFFFF" style="position:absolute;rotation:-0;width:579.7pt;height:129.85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pPr>
                      <w:r>
                        <w:rPr>
                          <w:lang w:val="en-CA" w:eastAsia="en-CA"/>
                        </w:rPr>
                      </w:r>
                      <w:r>
                        <w:rPr>
                          <w:lang w:val="en-CA" w:eastAsia="en-CA"/>
                        </w:rPr>
                      </w:r>
                    </w:p>
                  </w:txbxContent>
                </v:textbox>
                <w10:wrap type="topAndBottom"/>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1550035</wp:posOffset>
                </wp:positionH>
                <wp:positionV relativeFrom="paragraph">
                  <wp:posOffset>544195</wp:posOffset>
                </wp:positionV>
                <wp:extent cx="2752090" cy="557530"/>
                <wp:effectExtent l="0" t="0" r="0" b="0"/>
                <wp:wrapNone/>
                <wp:docPr id="2" name="Frame1"/>
                <a:graphic xmlns:a="http://schemas.openxmlformats.org/drawingml/2006/main">
                  <a:graphicData uri="http://schemas.microsoft.com/office/word/2010/wordprocessingShape">
                    <wps:wsp>
                      <wps:cNvSpPr txBox="1"/>
                      <wps:spPr>
                        <a:xfrm>
                          <a:off x="0" y="0"/>
                          <a:ext cx="2752090" cy="557530"/>
                        </a:xfrm>
                        <a:prstGeom prst="rect"/>
                        <a:solidFill>
                          <a:srgbClr val="FFFFFF"/>
                        </a:solidFill>
                        <a:ln w="9525">
                          <a:solidFill>
                            <a:srgbClr val="000000"/>
                          </a:solidFill>
                        </a:ln>
                      </wps:spPr>
                      <wps:txbx>
                        <w:txbxContent>
                          <w:p>
                            <w:pPr>
                              <w:pStyle w:val="Normal"/>
                              <w:rPr>
                                <w:b/>
                                <w:sz w:val="20"/>
                              </w:rPr>
                            </w:pPr>
                            <w:r>
                              <w:rPr>
                                <w:b/>
                                <w:sz w:val="20"/>
                              </w:rPr>
                              <w:t>PRIVILEGED AND CONFIDENTIAL ATTORNEY-CLIENT COMMUNICATION AND ATTORNEY WORK PRODUCT</w:t>
                            </w:r>
                          </w:p>
                        </w:txbxContent>
                      </wps:txbx>
                      <wps:bodyPr anchor="t" lIns="91440" tIns="45720" rIns="91440" bIns="45720">
                        <a:noAutofit/>
                      </wps:bodyPr>
                    </wps:wsp>
                  </a:graphicData>
                </a:graphic>
              </wp:anchor>
            </w:drawing>
          </mc:Choice>
          <mc:Fallback>
            <w:pict>
              <v:rect fillcolor="#FFFFFF" strokecolor="#000000" strokeweight="0pt" style="position:absolute;rotation:-0;width:216.7pt;height:43.9pt;mso-wrap-distance-left:9.05pt;mso-wrap-distance-right:9.05pt;mso-wrap-distance-top:0pt;mso-wrap-distance-bottom:0pt;margin-top:42.85pt;mso-position-vertical-relative:text;margin-left:122.05pt;mso-position-horizontal-relative:text">
                <v:textbox>
                  <w:txbxContent>
                    <w:p>
                      <w:pPr>
                        <w:pStyle w:val="Normal"/>
                        <w:rPr>
                          <w:b/>
                          <w:sz w:val="20"/>
                        </w:rPr>
                      </w:pPr>
                      <w:r>
                        <w:rPr>
                          <w:b/>
                          <w:sz w:val="20"/>
                        </w:rPr>
                        <w:t>PRIVILEGED AND CONFIDENTIAL ATTORNEY-CLIENT COMMUNICATION AND ATTORNEY WORK PRODUCT</w:t>
                      </w:r>
                    </w:p>
                  </w:txbxContent>
                </v:textbox>
                <w10:wrap type="none"/>
              </v:rect>
            </w:pict>
          </mc:Fallback>
        </mc:AlternateContent>
      </w:r>
    </w:p>
    <w:p>
      <w:pPr>
        <w:pStyle w:val="Normal"/>
        <w:jc w:val="center"/>
        <w:rPr>
          <w:spacing w:val="110"/>
          <w:sz w:val="36"/>
        </w:rPr>
      </w:pPr>
      <w:r>
        <w:rPr>
          <w:spacing w:val="110"/>
          <w:sz w:val="36"/>
        </w:rPr>
        <w:t>SECOND REVISED DRAFT</w:t>
      </w:r>
      <w:r>
        <mc:AlternateContent>
          <mc:Choice Requires="wps">
            <w:drawing>
              <wp:anchor behindDoc="0" distT="118745" distB="118745" distL="118745" distR="118745" simplePos="0" locked="0" layoutInCell="0" allowOverlap="1" relativeHeight="2">
                <wp:simplePos x="0" y="0"/>
                <wp:positionH relativeFrom="page">
                  <wp:posOffset>512445</wp:posOffset>
                </wp:positionH>
                <wp:positionV relativeFrom="page">
                  <wp:posOffset>2058035</wp:posOffset>
                </wp:positionV>
                <wp:extent cx="14605" cy="120650"/>
                <wp:effectExtent l="0" t="0" r="0" b="0"/>
                <wp:wrapTopAndBottom/>
                <wp:docPr id="3" name="Frame3"/>
                <a:graphic xmlns:a="http://schemas.openxmlformats.org/drawingml/2006/main">
                  <a:graphicData uri="http://schemas.microsoft.com/office/word/2010/wordprocessingShape">
                    <wps:wsp>
                      <wps:cNvSpPr txBox="1"/>
                      <wps:spPr>
                        <a:xfrm>
                          <a:off x="0" y="0"/>
                          <a:ext cx="14605" cy="120650"/>
                        </a:xfrm>
                        <a:prstGeom prst="rect"/>
                        <a:solidFill>
                          <a:srgbClr val="FFFFFF">
                            <a:alpha val="0"/>
                          </a:srgbClr>
                        </a:solidFill>
                      </wps:spPr>
                      <wps:txbx>
                        <w:txbxContent>
                          <w:p>
                            <w:pPr>
                              <w:pStyle w:val="DirectDial"/>
                              <w:rPr/>
                            </w:pPr>
                            <w:r>
                              <w:rPr/>
                            </w:r>
                            <w:bookmarkStart w:id="2" w:name="EMail"/>
                            <w:bookmarkStart w:id="3" w:name="Sender"/>
                            <w:bookmarkStart w:id="4" w:name="EMail"/>
                            <w:bookmarkStart w:id="5" w:name="Sender"/>
                            <w:bookmarkEnd w:id="4"/>
                            <w:bookmarkEnd w:id="5"/>
                          </w:p>
                        </w:txbxContent>
                      </wps:txbx>
                      <wps:bodyPr anchor="t" lIns="0" tIns="0" rIns="0" bIns="0">
                        <a:noAutofit/>
                      </wps:bodyPr>
                    </wps:wsp>
                  </a:graphicData>
                </a:graphic>
              </wp:anchor>
            </w:drawing>
          </mc:Choice>
          <mc:Fallback>
            <w:pict>
              <v:rect fillcolor="#FFFFFF" style="position:absolute;rotation:-0;width:1.15pt;height:9.5pt;mso-wrap-distance-left:9.35pt;mso-wrap-distance-right:9.35pt;mso-wrap-distance-top:9.35pt;mso-wrap-distance-bottom:9.35pt;margin-top:162.05pt;mso-position-vertical-relative:page;margin-left:40.35pt;mso-position-horizontal-relative:page">
                <v:fill opacity="0f"/>
                <v:textbox inset="0in,0in,0in,0in">
                  <w:txbxContent>
                    <w:p>
                      <w:pPr>
                        <w:pStyle w:val="DirectDial"/>
                        <w:rPr/>
                      </w:pPr>
                      <w:r>
                        <w:rPr/>
                      </w:r>
                      <w:bookmarkStart w:id="6" w:name="EMail"/>
                      <w:bookmarkStart w:id="7" w:name="Sender"/>
                      <w:bookmarkStart w:id="8" w:name="EMail"/>
                      <w:bookmarkStart w:id="9" w:name="Sender"/>
                      <w:bookmarkEnd w:id="8"/>
                      <w:bookmarkEnd w:id="9"/>
                    </w:p>
                  </w:txbxContent>
                </v:textbox>
                <w10:wrap type="topAndBottom"/>
              </v:rect>
            </w:pict>
          </mc:Fallback>
        </mc:AlternateContent>
      </w:r>
    </w:p>
    <w:p>
      <w:pPr>
        <w:pStyle w:val="Normal"/>
        <w:jc w:val="center"/>
        <w:rPr/>
      </w:pPr>
      <w:r>
        <w:rPr/>
        <w:t>MEMORANDUM</w:t>
      </w:r>
    </w:p>
    <w:tbl>
      <w:tblPr>
        <w:tblW w:w="9576" w:type="dxa"/>
        <w:jc w:val="start"/>
        <w:tblInd w:w="0" w:type="dxa"/>
        <w:tblLayout w:type="fixed"/>
        <w:tblCellMar>
          <w:top w:w="0" w:type="dxa"/>
          <w:start w:w="108" w:type="dxa"/>
          <w:bottom w:w="0" w:type="dxa"/>
          <w:end w:w="108" w:type="dxa"/>
        </w:tblCellMar>
      </w:tblPr>
      <w:tblGrid>
        <w:gridCol w:w="1440"/>
        <w:gridCol w:w="8136"/>
      </w:tblGrid>
      <w:tr>
        <w:trPr/>
        <w:tc>
          <w:tcPr>
            <w:tcW w:w="1440" w:type="dxa"/>
            <w:tcBorders/>
          </w:tcPr>
          <w:p>
            <w:pPr>
              <w:pStyle w:val="Normal"/>
              <w:spacing w:before="240" w:after="0"/>
              <w:ind w:end="144"/>
              <w:jc w:val="end"/>
              <w:rPr>
                <w:b/>
              </w:rPr>
            </w:pPr>
            <w:r>
              <w:rPr>
                <w:b/>
              </w:rPr>
              <w:t>To:</w:t>
            </w:r>
          </w:p>
        </w:tc>
        <w:tc>
          <w:tcPr>
            <w:tcW w:w="8136" w:type="dxa"/>
            <w:tcBorders/>
          </w:tcPr>
          <w:p>
            <w:pPr>
              <w:pStyle w:val="Normal"/>
              <w:spacing w:before="240" w:after="0"/>
              <w:ind w:start="144" w:end="0"/>
              <w:rPr>
                <w:lang w:val="en-CA" w:eastAsia="en-CA"/>
              </w:rPr>
            </w:pPr>
            <w:bookmarkStart w:id="10" w:name="To"/>
            <w:bookmarkEnd w:id="10"/>
            <w:r>
              <w:rPr>
                <w:lang w:val="en-CA" w:eastAsia="en-CA"/>
              </w:rPr>
              <w:t>Lisa J. Mellencamp</w:t>
              <w:br/>
              <w:t>Senior Counsel</w:t>
              <w:br/>
              <w:t>(Enron North America Corp.)</w:t>
            </w:r>
          </w:p>
        </w:tc>
      </w:tr>
      <w:tr>
        <w:trPr/>
        <w:tc>
          <w:tcPr>
            <w:tcW w:w="1440" w:type="dxa"/>
            <w:tcBorders/>
          </w:tcPr>
          <w:p>
            <w:pPr>
              <w:pStyle w:val="Normal"/>
              <w:spacing w:before="240" w:after="0"/>
              <w:ind w:end="144"/>
              <w:jc w:val="end"/>
              <w:rPr>
                <w:b/>
              </w:rPr>
            </w:pPr>
            <w:r>
              <w:rPr>
                <w:b/>
              </w:rPr>
              <w:t>From:</w:t>
            </w:r>
          </w:p>
        </w:tc>
        <w:tc>
          <w:tcPr>
            <w:tcW w:w="8136" w:type="dxa"/>
            <w:tcBorders/>
          </w:tcPr>
          <w:p>
            <w:pPr>
              <w:pStyle w:val="Normal"/>
              <w:spacing w:before="240" w:after="0"/>
              <w:ind w:start="144" w:end="0"/>
              <w:rPr>
                <w:lang w:val="en-CA" w:eastAsia="en-CA"/>
              </w:rPr>
            </w:pPr>
            <w:bookmarkStart w:id="11" w:name="From"/>
            <w:bookmarkEnd w:id="11"/>
            <w:r>
              <w:rPr>
                <w:lang w:val="en-CA" w:eastAsia="en-CA"/>
              </w:rPr>
              <w:t>David S. Mitchell</w:t>
              <w:br/>
              <w:t>Rick B. Antonoff</w:t>
            </w:r>
          </w:p>
        </w:tc>
      </w:tr>
      <w:tr>
        <w:trPr/>
        <w:tc>
          <w:tcPr>
            <w:tcW w:w="1440" w:type="dxa"/>
            <w:tcBorders/>
          </w:tcPr>
          <w:p>
            <w:pPr>
              <w:pStyle w:val="Normal"/>
              <w:spacing w:before="240" w:after="0"/>
              <w:ind w:end="144"/>
              <w:jc w:val="end"/>
              <w:rPr>
                <w:b/>
              </w:rPr>
            </w:pPr>
            <w:bookmarkStart w:id="12" w:name="Date"/>
            <w:bookmarkEnd w:id="12"/>
            <w:r>
              <w:rPr>
                <w:b/>
              </w:rPr>
              <w:t>Date:</w:t>
            </w:r>
          </w:p>
        </w:tc>
        <w:tc>
          <w:tcPr>
            <w:tcW w:w="8136" w:type="dxa"/>
            <w:tcBorders/>
          </w:tcPr>
          <w:p>
            <w:pPr>
              <w:pStyle w:val="Normal"/>
              <w:spacing w:before="240" w:after="0"/>
              <w:ind w:start="144" w:end="0"/>
              <w:rPr/>
            </w:pPr>
            <w:r>
              <w:rPr/>
              <w:t>February 28, 2000</w:t>
            </w:r>
          </w:p>
        </w:tc>
      </w:tr>
      <w:tr>
        <w:trPr/>
        <w:tc>
          <w:tcPr>
            <w:tcW w:w="1440" w:type="dxa"/>
            <w:tcBorders>
              <w:bottom w:val="double" w:sz="4" w:space="0" w:color="000000"/>
            </w:tcBorders>
          </w:tcPr>
          <w:p>
            <w:pPr>
              <w:pStyle w:val="Normal"/>
              <w:spacing w:before="240" w:after="240"/>
              <w:ind w:end="144"/>
              <w:jc w:val="end"/>
              <w:rPr>
                <w:b/>
              </w:rPr>
            </w:pPr>
            <w:r>
              <w:rPr>
                <w:b/>
              </w:rPr>
              <w:t>Re:</w:t>
            </w:r>
          </w:p>
        </w:tc>
        <w:tc>
          <w:tcPr>
            <w:tcW w:w="8136" w:type="dxa"/>
            <w:tcBorders>
              <w:bottom w:val="double" w:sz="4" w:space="0" w:color="000000"/>
            </w:tcBorders>
          </w:tcPr>
          <w:p>
            <w:pPr>
              <w:pStyle w:val="Normal"/>
              <w:tabs>
                <w:tab w:val="clear" w:pos="720"/>
                <w:tab w:val="left" w:pos="7200" w:leader="none"/>
              </w:tabs>
              <w:spacing w:before="240" w:after="240"/>
              <w:ind w:start="144" w:end="720"/>
              <w:jc w:val="both"/>
              <w:rPr>
                <w:u w:val="single"/>
              </w:rPr>
            </w:pPr>
            <w:bookmarkStart w:id="13" w:name="Re"/>
            <w:bookmarkEnd w:id="13"/>
            <w:r>
              <w:rPr>
                <w:u w:val="single"/>
              </w:rPr>
              <w:t>Netting and Setoff Across Physical and Financial Contracts</w:t>
            </w:r>
          </w:p>
        </w:tc>
      </w:tr>
      <w:tr>
        <w:trPr/>
        <w:tc>
          <w:tcPr>
            <w:tcW w:w="1440" w:type="dxa"/>
            <w:tcBorders/>
          </w:tcPr>
          <w:p>
            <w:pPr>
              <w:pStyle w:val="Normal"/>
              <w:snapToGrid w:val="false"/>
              <w:ind w:end="144"/>
              <w:jc w:val="end"/>
              <w:rPr>
                <w:b/>
                <w:u w:val="single"/>
              </w:rPr>
            </w:pPr>
            <w:r>
              <w:rPr>
                <w:b/>
                <w:u w:val="single"/>
              </w:rPr>
            </w:r>
          </w:p>
        </w:tc>
        <w:tc>
          <w:tcPr>
            <w:tcW w:w="8136" w:type="dxa"/>
            <w:tcBorders/>
          </w:tcPr>
          <w:p>
            <w:pPr>
              <w:pStyle w:val="Normal"/>
              <w:snapToGrid w:val="false"/>
              <w:ind w:start="144" w:end="0"/>
              <w:rPr>
                <w:b/>
              </w:rPr>
            </w:pPr>
            <w:r>
              <w:rPr>
                <w:b/>
              </w:rPr>
            </w:r>
          </w:p>
        </w:tc>
      </w:tr>
    </w:tbl>
    <w:p>
      <w:pPr>
        <w:pStyle w:val="BodyMain"/>
        <w:spacing w:lineRule="auto" w:line="480"/>
        <w:rPr/>
      </w:pPr>
      <w:bookmarkStart w:id="14" w:name="Body"/>
      <w:bookmarkEnd w:id="14"/>
      <w:r>
        <w:rPr/>
        <w:t xml:space="preserve">You have asked us to address the issue of whether, in the event Enron enters into physically settled transactions involving commodities and financially settled derivatives transactions with a single counterparty that becomes a debtor under the United States Bankruptcy Code, Enron would be able to (a) terminate all transactions with the counterparty and (b) net and set off all claims and apply collateral across all transactions. </w:t>
      </w:r>
    </w:p>
    <w:p>
      <w:pPr>
        <w:pStyle w:val="BodyMain"/>
        <w:spacing w:lineRule="auto" w:line="480"/>
        <w:ind w:hanging="0" w:end="0"/>
        <w:jc w:val="center"/>
        <w:rPr>
          <w:b/>
          <w:u w:val="single"/>
        </w:rPr>
      </w:pPr>
      <w:r>
        <w:rPr>
          <w:b/>
          <w:u w:val="single"/>
        </w:rPr>
        <w:t>SUMMARY CONCLUSION</w:t>
      </w:r>
    </w:p>
    <w:p>
      <w:pPr>
        <w:pStyle w:val="BodyMain"/>
        <w:spacing w:lineRule="auto" w:line="480"/>
        <w:rPr/>
      </w:pPr>
      <w:r>
        <w:rPr/>
        <w:t>We conclude that Enron’s ability to net across physically and financially settled transactions would be improved under a master netting agreement that addresses both types of transactions. Under current law, the validity of netting across different types of contracts  under a master netting agreement should, in most circumstances, be valid, provided that the relevant contracts grant Enron such rights, subject only to the risk that if any transaction governed by the agreement does not qualify under the Bankruptcy Code safe harbor provisions, the entire master netting agreement may be ineligible for safe harbor treatment. As a practical matter, this risk may be negligible because of the nature of Enron’s business. Moreover, proposed new bankruptcy legislation currently pending in Congress would amend the Bankruptcy Code in a manner intended to eliminate this risk.</w:t>
      </w:r>
    </w:p>
    <w:p>
      <w:pPr>
        <w:pStyle w:val="BodyMain"/>
        <w:spacing w:lineRule="auto" w:line="480"/>
        <w:rPr/>
      </w:pPr>
      <w:r>
        <w:rPr/>
        <w:t>The Bankruptcy Code neither authorizes nor prohibits cross-product netting; it is not specifically addressed at all. Nor have we found any case law precedent that prohibits cross-product netting. Thus, under current law, we believe that Enron may act pursuant to any contractual rights which it may have in its existing documents to terminate, liquidate, and net obligations across physical and financial contracts with a single counterparty, but that Enron’s position would be strengthened by entering into a master netting agreement. In addition, there is a noticeable trend among participants in the commodities and financial markets to use master netting agreements with their customers. In part, this trend proceeds from the market’s recognition that having a master netting agreement improves the non-debtor’s position in the event of a counterparty bankruptcy. It also reflects a general movement toward implementing certain policies of the proposed Bankruptcy Code amendments which, if enacted, will be substantially more favorable to parties that have master netting agreements in place.</w:t>
      </w:r>
    </w:p>
    <w:p>
      <w:pPr>
        <w:pStyle w:val="BodyMain"/>
        <w:numPr>
          <w:ilvl w:val="0"/>
          <w:numId w:val="0"/>
        </w:numPr>
        <w:spacing w:lineRule="auto" w:line="480"/>
        <w:ind w:start="0" w:hanging="0" w:end="0"/>
        <w:jc w:val="center"/>
        <w:outlineLvl w:val="0"/>
        <w:rPr>
          <w:b/>
          <w:u w:val="single"/>
        </w:rPr>
      </w:pPr>
      <w:r>
        <w:rPr>
          <w:b/>
          <w:u w:val="single"/>
        </w:rPr>
        <w:t>DISCUSSION</w:t>
      </w:r>
    </w:p>
    <w:p>
      <w:pPr>
        <w:pStyle w:val="BodyMain"/>
        <w:spacing w:lineRule="auto" w:line="480"/>
        <w:ind w:hanging="0" w:end="0"/>
        <w:rPr/>
      </w:pPr>
      <w:r>
        <w:rPr>
          <w:b/>
        </w:rPr>
        <w:t>I.</w:t>
        <w:tab/>
      </w:r>
      <w:r>
        <w:rPr>
          <w:b/>
          <w:u w:val="single"/>
        </w:rPr>
        <w:t>Cross-Product Netting and the Bankruptcy Code</w:t>
      </w:r>
      <w:r>
        <w:rPr>
          <w:b/>
        </w:rPr>
        <w:t xml:space="preserve"> </w:t>
      </w:r>
    </w:p>
    <w:p>
      <w:pPr>
        <w:pStyle w:val="BodyMain"/>
        <w:spacing w:lineRule="auto" w:line="480"/>
        <w:rPr/>
      </w:pPr>
      <w:r>
        <w:rPr/>
        <w:t xml:space="preserve">The Bankruptcy Code contains several so-called “safe harbor” provisions that allow certain types of counterparties to exercise contractual rights to terminate and liquidate certain types of contracts notwithstanding the automatic stay. The types of contracts that fall within the scope of the bankruptcy safe harbors are securities, forward and commodities contracts, and repurchase and swap agreements. </w:t>
      </w:r>
    </w:p>
    <w:p>
      <w:pPr>
        <w:pStyle w:val="BodyMain"/>
        <w:spacing w:lineRule="auto" w:line="480"/>
        <w:rPr/>
      </w:pPr>
      <w:r>
        <w:rPr/>
        <w:t>The Bankruptcy Code limits the types of entities that may rely upon the safe harbors. In the case of forward and commodities contracts, counterparties entitled to exercise contractual termination and liquidation rights must be “commodity brokers” or “forward contract merchants.”  In the case of swap agreements, the counterparty must be a “swap participant.” Based on our understanding of Enron’s trading activities, we believe that the Enron entity entering into the physical transactions qualifies as a forward contract merchant or a commodity broker, and that the Enron entity entering into financial transactions qualifies as a swap participant, as those terms are defined in the Bankruptcy Code.</w:t>
      </w:r>
    </w:p>
    <w:p>
      <w:pPr>
        <w:pStyle w:val="BodyMain"/>
        <w:spacing w:lineRule="auto" w:line="480"/>
        <w:ind w:firstLine="720" w:end="0"/>
        <w:rPr>
          <w:b/>
        </w:rPr>
      </w:pPr>
      <w:r>
        <w:rPr>
          <w:b/>
        </w:rPr>
        <w:t>A.</w:t>
        <w:tab/>
      </w:r>
      <w:r>
        <w:rPr>
          <w:b/>
          <w:u w:val="single"/>
        </w:rPr>
        <w:t>Contractual Rights</w:t>
      </w:r>
    </w:p>
    <w:p>
      <w:pPr>
        <w:pStyle w:val="BodyMain"/>
        <w:spacing w:lineRule="auto" w:line="480"/>
        <w:rPr/>
      </w:pPr>
      <w:r>
        <w:rPr/>
        <w:t xml:space="preserve">Regardless of whether the contract is a forward or a commodities contract or a swap agreement, the relevant safe harbor provision of the Bankruptcy Code protects only “the contractual right” to terminate, liquidate, net, and set off. As a threshold matter, therefore, Enron’s right to exercise these remedies must be set forth in the relevant transaction documents, including the master netting agreement. </w:t>
      </w:r>
    </w:p>
    <w:p>
      <w:pPr>
        <w:pStyle w:val="BodyMain"/>
        <w:spacing w:lineRule="auto" w:line="480"/>
        <w:rPr/>
      </w:pPr>
      <w:r>
        <w:rPr>
          <w:b/>
        </w:rPr>
        <w:t>1.</w:t>
        <w:tab/>
      </w:r>
      <w:r>
        <w:rPr>
          <w:b/>
          <w:u w:val="single"/>
        </w:rPr>
        <w:t>Cross-Affiliate Setoff: Enron Affiliates</w:t>
      </w:r>
      <w:r>
        <w:rPr/>
        <w:t>.</w:t>
      </w:r>
    </w:p>
    <w:p>
      <w:pPr>
        <w:pStyle w:val="BodyMain"/>
        <w:spacing w:lineRule="auto" w:line="480"/>
        <w:rPr/>
      </w:pPr>
      <w:r>
        <w:rPr/>
        <w:t>If more than one Enron entity is a party to physically and/or financially settled transactions with a single counterparty, the relevant agreements should also provide that an Enron affiliate with a shortfall claim against the common counterparty may apply any excess collateral held by an affiliated Enron entity to reduce or eliminate the claim. While the broad set- off provisions currently used by Enron grant setoff rights among affiliates, the enforceability of such provisions as they relate to the use of collateral requires perfection of each affiliate’s security interests, in addition to set off rights.</w:t>
      </w:r>
    </w:p>
    <w:p>
      <w:pPr>
        <w:pStyle w:val="BodyMain"/>
        <w:spacing w:lineRule="auto" w:line="480"/>
        <w:rPr/>
      </w:pPr>
      <w:r>
        <w:rPr/>
        <w:t xml:space="preserve">We presume that the type of collateral that would be held to secure counterparty obligations will be cash or marketable securities. The Uniform Commercial Code, which governs perfection of security interests in most, if not all, jurisdictions in the United States, provides that a security interest in this type of collateral is perfected by possession. Because the Enron affiliate seeking to apply the excess collateral will not itself be in possession of the collateral, it can only obtain a perfected security interest if the other Enron affiliate that is in possession, acts as its custodian or bailee, and is therefore in possession of the collateral not only for its own benefit, but also for the benefit of its affiliates. </w:t>
      </w:r>
    </w:p>
    <w:p>
      <w:pPr>
        <w:pStyle w:val="BodyMain"/>
        <w:spacing w:lineRule="auto" w:line="480"/>
        <w:rPr/>
      </w:pPr>
      <w:r>
        <w:rPr/>
        <w:t xml:space="preserve">Under Enron’s existing contractual provisions, a counterparty could argue that an affiliate not in actual possession of collateral is not perfected and that its security interest is therefore voidable in bankruptcy. We believe that a master netting agreement would resolve this issue by explicitly providing that collateral held by any Enron entity is available to any other Enron affiliate and that the entity holding the collateral acts as a custodian or bailee for each named affiliate. </w:t>
      </w:r>
    </w:p>
    <w:p>
      <w:pPr>
        <w:pStyle w:val="BodyMain"/>
        <w:spacing w:lineRule="auto" w:line="480"/>
        <w:rPr/>
      </w:pPr>
      <w:r>
        <w:rPr>
          <w:b/>
        </w:rPr>
        <w:t>2.</w:t>
        <w:tab/>
      </w:r>
      <w:r>
        <w:rPr>
          <w:b/>
          <w:u w:val="single"/>
        </w:rPr>
        <w:t>Cross-Affiliate Setoff:  Counterparty Affiliates</w:t>
      </w:r>
      <w:r>
        <w:rPr>
          <w:b/>
        </w:rPr>
        <w:t>.</w:t>
      </w:r>
    </w:p>
    <w:p>
      <w:pPr>
        <w:pStyle w:val="BodyMain"/>
        <w:spacing w:lineRule="auto" w:line="480"/>
        <w:rPr/>
      </w:pPr>
      <w:r>
        <w:rPr/>
        <w:t>In the event that two or more affiliated counterparties enter into transactions with a single Enron entity, Enron’s right to aggregate claims and apply collateral across such counterparty affiliates should also be provided for in a master netting agreement. Sometimes referred to as “triangular” setoff, case law precedent in this area indicates that while there is a general rule prohibiting triangular setoff in the absence of an agreement, the general rule may be set aside if there is a formal agreement among the parties clearly establishing an intention to treat two separate entities as one for purposes of aggregating and setting off claims. We do not believe that Enron’s existing contractual provisions establish such an intention. We would therefore propose to include in a master netting agreement provisions for setting off and applying collateral across multiple counterparty affiliates.</w:t>
      </w:r>
    </w:p>
    <w:p>
      <w:pPr>
        <w:pStyle w:val="BodyMain"/>
        <w:spacing w:lineRule="auto" w:line="480"/>
        <w:rPr/>
      </w:pPr>
      <w:r>
        <w:rPr/>
        <w:t xml:space="preserve">We note that the foregoing analysis would apply in the event there are multiple affiliates on both sides of the agreement – </w:t>
      </w:r>
      <w:r>
        <w:rPr>
          <w:u w:val="single"/>
        </w:rPr>
        <w:t>i.e.</w:t>
      </w:r>
      <w:r>
        <w:rPr/>
        <w:t>, where there are two or more Enron affiliates and two or more counterparty affiliates under a master netting agreement.</w:t>
      </w:r>
    </w:p>
    <w:p>
      <w:pPr>
        <w:pStyle w:val="BodyMain"/>
        <w:spacing w:lineRule="auto" w:line="480"/>
        <w:ind w:hanging="0" w:end="0"/>
        <w:rPr>
          <w:b/>
        </w:rPr>
      </w:pPr>
      <w:r>
        <w:rPr/>
        <w:tab/>
      </w:r>
      <w:r>
        <w:rPr>
          <w:b/>
        </w:rPr>
        <w:t>B.</w:t>
        <w:tab/>
      </w:r>
      <w:r>
        <w:rPr>
          <w:b/>
          <w:u w:val="single"/>
        </w:rPr>
        <w:t>Single Agreement and the Risk of Non-Qualifying Transactions</w:t>
      </w:r>
    </w:p>
    <w:p>
      <w:pPr>
        <w:pStyle w:val="BodyMain"/>
        <w:spacing w:lineRule="auto" w:line="480"/>
        <w:rPr/>
      </w:pPr>
      <w:r>
        <w:rPr/>
        <w:t xml:space="preserve">Generally, a master netting agreement will contain a provision stating that it and all confirmations thereunder form a single agreement between the parties. While this provision supports the right to terminate and net payments across the underlying transactions by treating them as a single agreement, there is a risk under current law that if a master netting agreement includes transactions that do not fall within the scope of a safe harbor provisions, in addition to others that do, a bankruptcy court may be faced with having to decide whether the “single agreement” is a qualifying agreement. </w:t>
      </w:r>
    </w:p>
    <w:p>
      <w:pPr>
        <w:pStyle w:val="BodyMain"/>
        <w:spacing w:lineRule="auto" w:line="480"/>
        <w:rPr/>
      </w:pPr>
      <w:r>
        <w:rPr/>
        <w:t xml:space="preserve">We have found no judicial precedent addressing this issue, but we recommend that Enron not document any non-qualifying transactions under a master netting agreement as the presence of such transactions may “taint” qualifying transactions. </w:t>
      </w:r>
    </w:p>
    <w:p>
      <w:pPr>
        <w:pStyle w:val="BodyMain"/>
        <w:spacing w:lineRule="auto" w:line="480"/>
        <w:ind w:hanging="0" w:end="0"/>
        <w:rPr/>
      </w:pPr>
      <w:r>
        <w:rPr>
          <w:b/>
        </w:rPr>
        <w:t>II.</w:t>
        <w:tab/>
      </w:r>
      <w:r>
        <w:rPr>
          <w:b/>
          <w:u w:val="single"/>
        </w:rPr>
        <w:t>Pending Bankruptcy Legislation</w:t>
      </w:r>
    </w:p>
    <w:p>
      <w:pPr>
        <w:pStyle w:val="BodyMain"/>
        <w:spacing w:lineRule="auto" w:line="480"/>
        <w:rPr/>
      </w:pPr>
      <w:r>
        <w:rPr/>
        <w:t xml:space="preserve">The Bankruptcy Reform Act of 2000 (the “Act”) which is currently pending in Congress, contains several provisions affecting financial contracts, including forwards, commodities contracts, swap agreements, and master netting agreements. </w:t>
      </w:r>
    </w:p>
    <w:p>
      <w:pPr>
        <w:pStyle w:val="BodyMain"/>
        <w:spacing w:lineRule="auto" w:line="480"/>
        <w:rPr/>
      </w:pPr>
      <w:r>
        <w:rPr/>
        <w:t>Among the provisions of the Act significant to the matters addressed in this memorandum are –</w:t>
      </w:r>
    </w:p>
    <w:p>
      <w:pPr>
        <w:pStyle w:val="BodyMain"/>
        <w:tabs>
          <w:tab w:val="clear" w:pos="720"/>
          <w:tab w:val="left" w:pos="9450" w:leader="none"/>
          <w:tab w:val="left" w:pos="9540" w:leader="none"/>
        </w:tabs>
        <w:spacing w:lineRule="auto" w:line="240"/>
        <w:ind w:hanging="720" w:start="2160" w:end="720"/>
        <w:rPr/>
      </w:pPr>
      <w:r>
        <w:rPr/>
        <w:t>°</w:t>
        <w:tab/>
        <w:t>the addition and definition of the term “master netting agreement” which contemplates cross-product transactions including forwards, commodities contracts and swap agreements;</w:t>
      </w:r>
    </w:p>
    <w:p>
      <w:pPr>
        <w:pStyle w:val="BodyMain"/>
        <w:tabs>
          <w:tab w:val="clear" w:pos="720"/>
          <w:tab w:val="left" w:pos="9450" w:leader="none"/>
          <w:tab w:val="left" w:pos="9540" w:leader="none"/>
        </w:tabs>
        <w:spacing w:lineRule="auto" w:line="240"/>
        <w:ind w:hanging="720" w:start="2160" w:end="720"/>
        <w:rPr/>
      </w:pPr>
      <w:r>
        <w:rPr/>
      </w:r>
    </w:p>
    <w:p>
      <w:pPr>
        <w:pStyle w:val="BodyMain"/>
        <w:tabs>
          <w:tab w:val="clear" w:pos="720"/>
          <w:tab w:val="left" w:pos="9450" w:leader="none"/>
          <w:tab w:val="left" w:pos="9540" w:leader="none"/>
        </w:tabs>
        <w:spacing w:lineRule="auto" w:line="240"/>
        <w:ind w:hanging="720" w:start="2160" w:end="720"/>
        <w:rPr/>
      </w:pPr>
      <w:r>
        <w:rPr/>
        <w:t>°</w:t>
        <w:tab/>
        <w:t>the addition of a new safe harbor provision permitting termination, liquidation, acceleration, and offsetting under a master netting agreement and across contracts;</w:t>
      </w:r>
    </w:p>
    <w:p>
      <w:pPr>
        <w:pStyle w:val="BodyMain"/>
        <w:tabs>
          <w:tab w:val="clear" w:pos="720"/>
          <w:tab w:val="left" w:pos="9450" w:leader="none"/>
          <w:tab w:val="left" w:pos="9540" w:leader="none"/>
        </w:tabs>
        <w:spacing w:lineRule="auto" w:line="240"/>
        <w:ind w:hanging="720" w:start="2160" w:end="720"/>
        <w:rPr/>
      </w:pPr>
      <w:r>
        <w:rPr/>
      </w:r>
    </w:p>
    <w:p>
      <w:pPr>
        <w:pStyle w:val="BodyMain"/>
        <w:tabs>
          <w:tab w:val="clear" w:pos="720"/>
          <w:tab w:val="left" w:pos="9450" w:leader="none"/>
          <w:tab w:val="left" w:pos="9540" w:leader="none"/>
        </w:tabs>
        <w:spacing w:lineRule="auto" w:line="240"/>
        <w:ind w:hanging="720" w:start="2160" w:end="720"/>
        <w:rPr/>
      </w:pPr>
      <w:r>
        <w:rPr/>
        <w:t>°</w:t>
        <w:tab/>
        <w:t xml:space="preserve">the recognition that a master netting agreement may be terminated whether or not it contains underlying transactions that do not fall within a safe harbor; provided, however, that non-qualifying transactions can not be terminated; </w:t>
      </w:r>
    </w:p>
    <w:p>
      <w:pPr>
        <w:pStyle w:val="BodyMain"/>
        <w:tabs>
          <w:tab w:val="clear" w:pos="720"/>
          <w:tab w:val="left" w:pos="9450" w:leader="none"/>
          <w:tab w:val="left" w:pos="9540" w:leader="none"/>
        </w:tabs>
        <w:spacing w:lineRule="auto" w:line="240"/>
        <w:ind w:hanging="720" w:start="2160" w:end="720"/>
        <w:rPr/>
      </w:pPr>
      <w:r>
        <w:rPr/>
      </w:r>
    </w:p>
    <w:p>
      <w:pPr>
        <w:pStyle w:val="BodyMain"/>
        <w:tabs>
          <w:tab w:val="clear" w:pos="720"/>
          <w:tab w:val="left" w:pos="9450" w:leader="none"/>
          <w:tab w:val="left" w:pos="9540" w:leader="none"/>
        </w:tabs>
        <w:spacing w:lineRule="auto" w:line="240"/>
        <w:ind w:hanging="720" w:start="2160" w:end="720"/>
        <w:rPr/>
      </w:pPr>
      <w:r>
        <w:rPr/>
        <w:t>°</w:t>
        <w:tab/>
        <w:t>substantially broadened definitions of “commodity contract,” “forward contract,” and “swap agreement” that specifically include master agreements that contain such transactions whether or not they also contain other types of transactions; and</w:t>
      </w:r>
    </w:p>
    <w:p>
      <w:pPr>
        <w:pStyle w:val="BodyMain"/>
        <w:tabs>
          <w:tab w:val="clear" w:pos="720"/>
          <w:tab w:val="left" w:pos="9450" w:leader="none"/>
          <w:tab w:val="left" w:pos="9540" w:leader="none"/>
        </w:tabs>
        <w:spacing w:lineRule="auto" w:line="240"/>
        <w:ind w:hanging="720" w:start="2160" w:end="720"/>
        <w:rPr/>
      </w:pPr>
      <w:r>
        <w:rPr/>
      </w:r>
    </w:p>
    <w:p>
      <w:pPr>
        <w:pStyle w:val="BodyMain"/>
        <w:tabs>
          <w:tab w:val="clear" w:pos="720"/>
          <w:tab w:val="left" w:pos="9450" w:leader="none"/>
          <w:tab w:val="left" w:pos="9540" w:leader="none"/>
        </w:tabs>
        <w:spacing w:lineRule="auto" w:line="240"/>
        <w:ind w:hanging="720" w:start="2160" w:end="720"/>
        <w:rPr/>
      </w:pPr>
      <w:r>
        <w:rPr/>
        <w:t>°</w:t>
        <w:tab/>
        <w:t>safe harbor provisions for security agreements and credit enhancement arrangements related to a safe harbored transaction.</w:t>
      </w:r>
    </w:p>
    <w:p>
      <w:pPr>
        <w:pStyle w:val="BodyMain"/>
        <w:tabs>
          <w:tab w:val="clear" w:pos="720"/>
          <w:tab w:val="left" w:pos="9450" w:leader="none"/>
          <w:tab w:val="left" w:pos="9540" w:leader="none"/>
        </w:tabs>
        <w:ind w:hanging="720" w:start="2160" w:end="720"/>
        <w:rPr/>
      </w:pPr>
      <w:r>
        <w:rPr/>
      </w:r>
    </w:p>
    <w:p>
      <w:pPr>
        <w:pStyle w:val="BodyMain"/>
        <w:spacing w:lineRule="auto" w:line="480"/>
        <w:rPr/>
      </w:pPr>
      <w:r>
        <w:rPr/>
        <w:t>Thus, in addition to eliminating the risk that non-qualifying transactions could “taint” an otherwise qualifying master agreement, the Act is intended generally and substantially to improve the position of non-debtor counterparties that have in place a master netting agreement with the debtor-counterparty.</w:t>
      </w:r>
    </w:p>
    <w:p>
      <w:pPr>
        <w:pStyle w:val="BodyMain"/>
        <w:spacing w:lineRule="auto" w:line="480"/>
        <w:rPr/>
      </w:pPr>
      <w:r>
        <w:rPr/>
        <w:t>While the pending legislation expands the rights of non-debtor counterparties and clarifies their rights to terminate and net obligations across safe harbor transactions, we do not believe that this legislation raises a significant risk that cross-product netting would be deemed to be invalid under current bankruptcy law.</w:t>
      </w:r>
    </w:p>
    <w:p>
      <w:pPr>
        <w:pStyle w:val="BodyMain"/>
        <w:spacing w:lineRule="auto" w:line="480"/>
        <w:ind w:hanging="0" w:end="0"/>
        <w:jc w:val="center"/>
        <w:rPr/>
      </w:pPr>
      <w:r>
        <w:rPr/>
        <w:t>*</w:t>
        <w:tab/>
        <w:tab/>
        <w:tab/>
        <w:t>*</w:t>
        <w:tab/>
        <w:tab/>
        <w:tab/>
        <w:t>*</w:t>
      </w:r>
    </w:p>
    <w:p>
      <w:pPr>
        <w:pStyle w:val="BodyMain"/>
        <w:spacing w:lineRule="auto" w:line="480"/>
        <w:rPr/>
      </w:pPr>
      <w:r>
        <w:rPr/>
        <w:t>If you have any further questions concerning the foregoing, please contact us.</w:t>
      </w:r>
    </w:p>
    <w:p>
      <w:pPr>
        <w:pStyle w:val="Initials"/>
        <w:ind w:start="0" w:end="0"/>
        <w:jc w:val="center"/>
        <w:rPr/>
      </w:pPr>
      <w:r>
        <w:rPr/>
        <w:t>D.S.M.</w:t>
        <w:br/>
        <w:t>R.B.A.</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108245.2</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irectDial">
    <w:name w:val="Direct Dial"/>
    <w:basedOn w:val="Normal"/>
    <w:qFormat/>
    <w:pPr>
      <w:spacing w:lineRule="exact" w:line="190"/>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lineRule="exact" w:line="54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2000-02-28T17:40:00Z</dcterms:created>
  <dc:creator>Rick B. Antonoff</dc:creator>
  <dc:description>CWTMemo for March rollout</dc:description>
  <dc:language>en-CA</dc:language>
  <cp:lastModifiedBy>Rick B. Antonoff</cp:lastModifiedBy>
  <cp:lastPrinted>2000-02-17T12:25:00Z</cp:lastPrinted>
  <dcterms:modified xsi:type="dcterms:W3CDTF">2000-02-28T17:40:00Z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CWTMemo</vt:lpwstr>
  </property>
  <property fmtid="{D5CDD505-2E9C-101B-9397-08002B2CF9AE}" pid="3" name="PCDOCS ID Info">
    <vt:lpwstr>CWT\{PCDOCS Library}\{filename}</vt:lpwstr>
  </property>
  <property fmtid="{D5CDD505-2E9C-101B-9397-08002B2CF9AE}" pid="4" name="PCDOCS ID Long">
    <vt:lpwstr>CWT\NYLIB2\108245.2</vt:lpwstr>
  </property>
  <property fmtid="{D5CDD505-2E9C-101B-9397-08002B2CF9AE}" pid="5" name="PCDOCS ID Short">
    <vt:lpwstr>108245.2</vt:lpwstr>
  </property>
  <property fmtid="{D5CDD505-2E9C-101B-9397-08002B2CF9AE}" pid="6" name="VersionDate">
    <vt:lpwstr>4/1/99</vt:lpwstr>
  </property>
</Properties>
</file>