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Netherlands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t>(h) In respect of derivatives products, Counterparty (i) has a consolidated balance sheet at least NLG one billion and its shares are listed on an official stock exchange; or (ii) has a separate treasury department or group finance company; or (iii) trades or invests in securities in the conduct of its business (that is, it has reasonable expertise and experience in dealing in securities, derivatives (including commodity derivatives) or other financial products).</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1999-11-30T00:46:00Z</dcterms:created>
  <dc:creator>dhalley</dc:creator>
  <dc:description/>
  <dc:language>en-CA</dc:language>
  <cp:lastModifiedBy>dhalley</cp:lastModifiedBy>
  <dcterms:modified xsi:type="dcterms:W3CDTF">1999-11-30T00:46:00Z</dcterms:modified>
  <cp:revision>1</cp:revision>
  <dc:subject/>
  <dc:title>Netherlands Version 2 - 27 November 1999</dc:title>
</cp:coreProperties>
</file>