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ind w:hanging="1440" w:start="1440" w:end="0"/>
        <w:rPr>
          <w:u w:val="single"/>
        </w:rPr>
      </w:pPr>
      <w:r>
        <w:rPr>
          <w:u w:val="single"/>
        </w:rPr>
        <w:t>List of Information Requirements:  Winning Bidder for Netco</w:t>
      </w:r>
    </w:p>
    <w:p>
      <w:pPr>
        <w:pStyle w:val="Normal"/>
        <w:tabs>
          <w:tab w:val="clear" w:pos="720"/>
          <w:tab w:val="left" w:pos="-1440" w:leader="none"/>
        </w:tabs>
        <w:ind w:firstLine="1440" w:end="0"/>
        <w:rPr/>
      </w:pPr>
      <w:r>
        <w:rPr/>
      </w:r>
    </w:p>
    <w:p>
      <w:pPr>
        <w:pStyle w:val="Normal"/>
        <w:rPr/>
      </w:pPr>
      <w:r>
        <w:rPr/>
        <w:t xml:space="preserve">In order to complete the Netco market-based rate application, the winning bidder must provide certain information.  The following information must be provided (depending on who the winning bidder is, there may be additional information required).  </w:t>
      </w:r>
    </w:p>
    <w:p>
      <w:pPr>
        <w:pStyle w:val="Normal"/>
        <w:tabs>
          <w:tab w:val="clear" w:pos="720"/>
          <w:tab w:val="left" w:pos="-1440" w:leader="none"/>
        </w:tabs>
        <w:ind w:firstLine="1440" w:end="0"/>
        <w:rPr/>
      </w:pPr>
      <w:r>
        <w:rPr/>
      </w:r>
    </w:p>
    <w:p>
      <w:pPr>
        <w:pStyle w:val="Normal"/>
        <w:numPr>
          <w:ilvl w:val="0"/>
          <w:numId w:val="1"/>
        </w:numPr>
        <w:tabs>
          <w:tab w:val="clear" w:pos="720"/>
          <w:tab w:val="left" w:pos="-1440" w:leader="none"/>
        </w:tabs>
        <w:ind w:hanging="720" w:start="2160" w:end="0"/>
        <w:rPr/>
      </w:pPr>
      <w:r>
        <w:rPr/>
        <w:t>Corporate structure of the entity that will be Netco;</w:t>
      </w:r>
    </w:p>
    <w:p>
      <w:pPr>
        <w:pStyle w:val="Normal"/>
        <w:numPr>
          <w:ilvl w:val="0"/>
          <w:numId w:val="1"/>
        </w:numPr>
        <w:tabs>
          <w:tab w:val="clear" w:pos="720"/>
          <w:tab w:val="left" w:pos="-1440" w:leader="none"/>
        </w:tabs>
        <w:ind w:hanging="720" w:start="2160" w:end="0"/>
        <w:rPr/>
      </w:pPr>
      <w:r>
        <w:rPr/>
        <w:t>The state of incorporation of Netco;</w:t>
      </w:r>
    </w:p>
    <w:p>
      <w:pPr>
        <w:pStyle w:val="Normal"/>
        <w:numPr>
          <w:ilvl w:val="0"/>
          <w:numId w:val="1"/>
        </w:numPr>
        <w:tabs>
          <w:tab w:val="clear" w:pos="720"/>
          <w:tab w:val="left" w:pos="-1440" w:leader="none"/>
        </w:tabs>
        <w:ind w:hanging="720" w:start="2160" w:end="0"/>
        <w:rPr/>
      </w:pPr>
      <w:r>
        <w:rPr/>
        <w:t>The principal business of Netco;</w:t>
      </w:r>
    </w:p>
    <w:p>
      <w:pPr>
        <w:pStyle w:val="Normal"/>
        <w:numPr>
          <w:ilvl w:val="0"/>
          <w:numId w:val="1"/>
        </w:numPr>
        <w:tabs>
          <w:tab w:val="clear" w:pos="720"/>
          <w:tab w:val="left" w:pos="-1440" w:leader="none"/>
        </w:tabs>
        <w:ind w:hanging="720" w:start="2160" w:end="0"/>
        <w:rPr/>
      </w:pPr>
      <w:r>
        <w:rPr/>
        <w:t xml:space="preserve">Identification of all energy affiliates of the winning bidder or any other partial owner of Netco (while the FERC rules refer to affiliation as 5-10% ownership, depending which context, the truth is they should also include any other companies over which they have any de facto control; whenever we use the word “affliliates” in this memo, that’s what we mean); </w:t>
      </w:r>
    </w:p>
    <w:p>
      <w:pPr>
        <w:pStyle w:val="Normal"/>
        <w:numPr>
          <w:ilvl w:val="0"/>
          <w:numId w:val="1"/>
        </w:numPr>
        <w:tabs>
          <w:tab w:val="clear" w:pos="720"/>
          <w:tab w:val="left" w:pos="-1440" w:leader="none"/>
        </w:tabs>
        <w:ind w:hanging="720" w:start="2160" w:end="0"/>
        <w:rPr/>
      </w:pPr>
      <w:r>
        <w:rPr/>
        <w:t xml:space="preserve"> </w:t>
      </w:r>
      <w:r>
        <w:rPr/>
        <w:t>The contact information of the person to whom communications concerning the application should be directed;</w:t>
      </w:r>
    </w:p>
    <w:p>
      <w:pPr>
        <w:pStyle w:val="Normal"/>
        <w:numPr>
          <w:ilvl w:val="0"/>
          <w:numId w:val="1"/>
        </w:numPr>
        <w:tabs>
          <w:tab w:val="clear" w:pos="720"/>
          <w:tab w:val="left" w:pos="-1440" w:leader="none"/>
        </w:tabs>
        <w:ind w:hanging="720" w:start="2160" w:end="0"/>
        <w:rPr/>
      </w:pPr>
      <w:r>
        <w:rPr/>
        <w:t>A description of any energy affiliates’ facilities for the generation, transmission or distribution of electric energy;</w:t>
      </w:r>
    </w:p>
    <w:p>
      <w:pPr>
        <w:pStyle w:val="Normal"/>
        <w:numPr>
          <w:ilvl w:val="0"/>
          <w:numId w:val="1"/>
        </w:numPr>
        <w:tabs>
          <w:tab w:val="clear" w:pos="720"/>
          <w:tab w:val="left" w:pos="-1440" w:leader="none"/>
        </w:tabs>
        <w:ind w:hanging="720" w:start="2160" w:end="0"/>
        <w:rPr/>
      </w:pPr>
      <w:r>
        <w:rPr/>
        <w:t>Where these affiliates are located;</w:t>
      </w:r>
    </w:p>
    <w:p>
      <w:pPr>
        <w:pStyle w:val="Normal"/>
        <w:numPr>
          <w:ilvl w:val="0"/>
          <w:numId w:val="1"/>
        </w:numPr>
        <w:tabs>
          <w:tab w:val="clear" w:pos="720"/>
          <w:tab w:val="left" w:pos="-1440" w:leader="none"/>
        </w:tabs>
        <w:ind w:hanging="720" w:start="2160" w:end="0"/>
        <w:rPr/>
      </w:pPr>
      <w:r>
        <w:rPr/>
        <w:t>Whether these affiliates hold any franchises or service territories;</w:t>
      </w:r>
    </w:p>
    <w:p>
      <w:pPr>
        <w:pStyle w:val="Normal"/>
        <w:numPr>
          <w:ilvl w:val="0"/>
          <w:numId w:val="1"/>
        </w:numPr>
        <w:tabs>
          <w:tab w:val="clear" w:pos="720"/>
          <w:tab w:val="left" w:pos="-1440" w:leader="none"/>
        </w:tabs>
        <w:ind w:hanging="720" w:start="2160" w:end="0"/>
        <w:rPr/>
      </w:pPr>
      <w:r>
        <w:rPr/>
        <w:t>Whether these affiliates control any interstate or intrastate natural gas transmission lines or other essential resources or inputs that could be used to restrict market entry by competing power suppliers;</w:t>
      </w:r>
    </w:p>
    <w:p>
      <w:pPr>
        <w:pStyle w:val="Normal"/>
        <w:numPr>
          <w:ilvl w:val="0"/>
          <w:numId w:val="1"/>
        </w:numPr>
        <w:tabs>
          <w:tab w:val="clear" w:pos="720"/>
          <w:tab w:val="left" w:pos="-1440" w:leader="none"/>
        </w:tabs>
        <w:ind w:hanging="720" w:start="2160" w:end="0"/>
        <w:rPr/>
      </w:pPr>
      <w:r>
        <w:rPr/>
        <w:t>What percentage of the net revenue earned by Netco will be assigned to the estate of Enron Corp. pursuant to the bankruptcy plan and what conditions will apply to the allocation of this percentage of the net revenue to Enron.</w:t>
      </w:r>
    </w:p>
    <w:p>
      <w:pPr>
        <w:pStyle w:val="Normal"/>
        <w:numPr>
          <w:ilvl w:val="0"/>
          <w:numId w:val="1"/>
        </w:numPr>
        <w:tabs>
          <w:tab w:val="clear" w:pos="720"/>
          <w:tab w:val="left" w:pos="-1440" w:leader="none"/>
        </w:tabs>
        <w:ind w:hanging="720" w:start="2160" w:end="0"/>
        <w:rPr/>
      </w:pPr>
      <w:r>
        <w:rPr/>
        <w:t xml:space="preserve">If there will by any other relationship with Enron or its affiliates, either through Netco or otherwise, a full description of that relationship.  (This will be important to the process being expedited). </w:t>
      </w:r>
    </w:p>
    <w:p>
      <w:pPr>
        <w:pStyle w:val="Normal"/>
        <w:tabs>
          <w:tab w:val="clear" w:pos="720"/>
          <w:tab w:val="left" w:pos="-1440" w:leader="none"/>
        </w:tabs>
        <w:ind w:hanging="720" w:start="2160" w:end="0"/>
        <w:rPr/>
      </w:pPr>
      <w:r>
        <w:rPr/>
        <w:t>12. A copy of the bid package, and a copy of the Asset Purchase Agreement with schedules.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univers11">
    <w:name w:val="univers11"/>
    <w:qFormat/>
    <w:rPr>
      <w:rFonts w:ascii="Verdana" w:hAnsi="Verdana" w:cs="Verdana"/>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2002-01-08T20:49:00Z</dcterms:created>
  <dc:creator>jsteffe</dc:creator>
  <dc:description/>
  <dc:language>en-CA</dc:language>
  <cp:lastModifiedBy>jsteffe</cp:lastModifiedBy>
  <dcterms:modified xsi:type="dcterms:W3CDTF">2002-01-08T20:53:00Z</dcterms:modified>
  <cp:revision>2</cp:revision>
  <dc:subject/>
  <dc:title>List of Information Requirements:  Winning Bidder for Newco</dc:title>
</cp:coreProperties>
</file>