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sz w:val="18"/>
        </w:rPr>
      </w:pPr>
      <w:r>
        <w:rPr>
          <w:rFonts w:cs="Arial" w:ascii="Arial" w:hAnsi="Arial"/>
          <w:color w:val="808080"/>
          <w:sz w:val="40"/>
          <w:lang w:val="en-CA" w:eastAsia="en-CA"/>
        </w:rPr>
        <w:tab/>
      </w:r>
    </w:p>
    <w:p>
      <w:pPr>
        <w:pStyle w:val="Caption"/>
        <w:spacing w:before="240" w:after="100"/>
        <w:rPr>
          <w:rFonts w:ascii="Arial" w:hAnsi="Arial" w:cs="Arial"/>
        </w:rPr>
      </w:pPr>
      <w:r>
        <w:rPr>
          <w:rFonts w:cs="Arial" w:ascii="Arial" w:hAnsi="Arial"/>
          <w:color w:val="808080"/>
          <w:sz w:val="40"/>
          <w:lang w:val="en-CA" w:eastAsia="en-CA"/>
        </w:rPr>
        <w:t>[]</w:t>
      </w:r>
      <w:commentRangeStart w:id="0"/>
      <w:r>
        <w:rPr>
          <w:rFonts w:cs="Arial" w:ascii="Arial" w:hAnsi="Arial"/>
        </w:rPr>
        <w:t>PASSWORD APPLICATION</w:t>
      </w:r>
      <w:commentRangeEnd w:id="0"/>
      <w:r>
        <w:commentReference w:id="0"/>
      </w:r>
      <w:r>
        <w:rPr>
          <w:rStyle w:val="CommentReference"/>
          <w:b/>
          <w:vanish w:val="false"/>
          <w:lang w:val="en-US"/>
        </w:rPr>
      </w:r>
    </w:p>
    <w:p>
      <w:pPr>
        <w:pStyle w:val="Normal"/>
        <w:rPr>
          <w:rFonts w:ascii="Arial" w:hAnsi="Arial" w:cs="Arial"/>
          <w:color w:val="808080"/>
          <w:sz w:val="16"/>
          <w:lang w:val="en-CA" w:eastAsia="en-CA"/>
        </w:rPr>
      </w:pPr>
      <w:r>
        <w:rPr>
          <w:rFonts w:cs="Arial" w:ascii="Arial" w:hAnsi="Arial"/>
          <w:color w:val="808080"/>
          <w:sz w:val="16"/>
          <w:lang w:val="en-CA" w:eastAsia="en-CA"/>
        </w:rPr>
      </w:r>
    </w:p>
    <w:p>
      <w:pPr>
        <w:pStyle w:val="BodyTextIndent"/>
        <w:spacing w:before="60" w:after="60"/>
        <w:ind w:firstLine="720" w:end="0"/>
        <w:rPr/>
      </w:pPr>
      <w:r>
        <w:rPr>
          <w:rFonts w:cs="Arial" w:ascii="Arial" w:hAnsi="Arial"/>
          <w:sz w:val="16"/>
        </w:rPr>
        <w:t xml:space="preserve">WHEREAS[Netco] and/or its affiliates (referred to herein collectively and individually as []”Netco")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 (collectively, "Transactions"); The </w:t>
      </w:r>
      <w:commentRangeStart w:id="1"/>
      <w:r>
        <w:rPr>
          <w:rFonts w:cs="Arial" w:ascii="Arial" w:hAnsi="Arial"/>
          <w:sz w:val="16"/>
        </w:rPr>
        <w:t>counterparty identified below ("Counterparty"</w:t>
      </w:r>
      <w:r>
        <w:rPr>
          <w:rStyle w:val="CommentReference"/>
          <w:vanish w:val="false"/>
          <w:lang w:val="en-US"/>
        </w:rPr>
      </w:r>
      <w:commentRangeEnd w:id="1"/>
      <w:r>
        <w:commentReference w:id="1"/>
      </w:r>
      <w:r>
        <w:rPr>
          <w:rFonts w:cs="Arial" w:ascii="Arial" w:hAnsi="Arial"/>
          <w:sz w:val="16"/>
        </w:rPr>
        <w:t>) wishes to access and utilize the Website as authorized agent for and on behalf of [List Principals] (the “Operating Principals”), and []Netco] is willing to provide such access on the terms and conditions set forth herein; and  []Netco] and Counterparty, as authorized agent for and on behalf of the Operating Principals, hereby agree as follows:</w:t>
      </w:r>
    </w:p>
    <w:p>
      <w:pPr>
        <w:pStyle w:val="BodyTextIndent"/>
        <w:spacing w:before="60" w:after="60"/>
        <w:ind w:firstLine="720" w:end="0"/>
        <w:rPr>
          <w:rFonts w:ascii="Arial" w:hAnsi="Arial" w:cs="Arial"/>
          <w:sz w:val="16"/>
        </w:rPr>
      </w:pPr>
      <w:r>
        <w:rPr>
          <w:rFonts w:cs="Arial" w:ascii="Arial" w:hAnsi="Arial"/>
          <w:sz w:val="16"/>
        </w:rPr>
        <w:t>[]Netco]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[][Netco]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and the placement of auction bids and offers) by any person using the Passwords, and it shall only provide the Passwords to its employees who are authorized by the Counterparty to access and use the Website and execute Transactions and place auction bids and offers, and not to any third parties. It will implement and enforce reasonable measures to protect the confidentiality of the Website and shall immediately notify []Netco] 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available on the Website (the "ETA"). Prior to Counterparty’s first execution of Transactions  or placement of an auction 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auction bid or offer placed and any Transaction executed on the Website will be deemed to be "in writing" and to have been "signed" (and any record of the ETA, any GTC, any auction bid or offer placed or any Transaction will be deemed to be in "writing" for all purposes). Without limitation of the foregoing, Counterparty agrees that it will be bound by any auction bid or offer placed orany Transactions executed on the Website by “clicking” (or other action specified by[Netco]) by any person using the Passwords, subject to and in accordance with the terms of this Password Application and the ETA. Counterparty represents, warrants and covenants that all information provided by Counterparty to []Netco] is true, accurate and complete in all respects and that []Netco]shall be entitled to continue to rely on any information previously provided to it by Counterparty in connection with the execution of Transactions through the Website.</w:t>
      </w:r>
    </w:p>
    <w:p>
      <w:pPr>
        <w:pStyle w:val="BodyTextIndent"/>
        <w:spacing w:before="60" w:after="60"/>
        <w:ind w:firstLine="720" w:end="0"/>
        <w:rPr>
          <w:rFonts w:ascii="Arial" w:hAnsi="Arial" w:cs="Arial"/>
          <w:sz w:val="16"/>
        </w:rPr>
      </w:pPr>
      <w:commentRangeStart w:id="2"/>
      <w:r>
        <w:rPr>
          <w:rFonts w:cs="Arial" w:ascii="Arial" w:hAnsi="Arial"/>
          <w:sz w:val="16"/>
        </w:rPr>
        <w:t>Any entity, whether or not a [][Netco] entity, that posts its products on the Website will be a third party beneficiary of this Password Application and the ETA to the same extent as if it were an affiliate of[] [Netco].  []Netco} may give Counterparty’s name to potential product providers as a prospective counterparty.</w:t>
      </w:r>
      <w:commentRangeEnd w:id="2"/>
      <w:r>
        <w:commentReference w:id="2"/>
      </w:r>
      <w:r>
        <w:rPr>
          <w:rStyle w:val="CommentReference"/>
          <w:vanish w:val="false"/>
          <w:lang w:val="en-US"/>
        </w:rPr>
      </w:r>
    </w:p>
    <w:p>
      <w:pPr>
        <w:pStyle w:val="Normal"/>
        <w:spacing w:before="60" w:after="60"/>
        <w:ind w:firstLine="720" w:end="0"/>
        <w:rPr>
          <w:rFonts w:ascii="Arial" w:hAnsi="Arial" w:cs="Arial"/>
          <w:sz w:val="16"/>
        </w:rPr>
      </w:pPr>
      <w:r>
        <w:rPr>
          <w:rFonts w:cs="Arial" w:ascii="Arial" w:hAnsi="Arial"/>
          <w:sz w:val="16"/>
        </w:rPr>
        <w:t xml:space="preserve">This Password Application will be governed by and construed in accordance with the laws of the State of New York[]. </w:t>
      </w:r>
    </w:p>
    <w:p>
      <w:pPr>
        <w:pStyle w:val="Normal"/>
        <w:tabs>
          <w:tab w:val="clear" w:pos="720"/>
          <w:tab w:val="left" w:pos="4680" w:leader="none"/>
        </w:tabs>
        <w:rPr>
          <w:rFonts w:ascii="Arial" w:hAnsi="Arial" w:cs="Arial"/>
          <w:sz w:val="16"/>
        </w:rPr>
      </w:pPr>
      <w:r>
        <w:rPr>
          <w:rFonts w:cs="Arial" w:ascii="Arial" w:hAnsi="Arial"/>
          <w:sz w:val="16"/>
        </w:rPr>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b w:val="false"/>
        </w:rPr>
      </w:pPr>
      <w:r>
        <w:rPr/>
        <w:t>Name:  ____________________________________________</w:t>
      </w:r>
      <w:r>
        <w:rPr>
          <w:b w:val="false"/>
        </w:rPr>
        <w:t xml:space="preserve">              </w:t>
      </w:r>
      <w:r>
        <w:rPr>
          <w:u w:val="single"/>
        </w:rPr>
        <w:t>Required Initial Password</w:t>
      </w:r>
    </w:p>
    <w:p>
      <w:pPr>
        <w:pStyle w:val="Normal"/>
        <w:rPr>
          <w:rFonts w:ascii="Arial" w:hAnsi="Arial" w:cs="Arial"/>
          <w:b/>
          <w:sz w:val="16"/>
          <w:u w:val="single"/>
        </w:rPr>
      </w:pPr>
      <w:r>
        <w:rPr>
          <w:rFonts w:eastAsia="Arial" w:cs="Arial" w:ascii="Arial" w:hAnsi="Arial"/>
          <w:sz w:val="16"/>
        </w:rPr>
        <w:t xml:space="preserve">                                                                                                                   </w:t>
      </w:r>
      <w:r>
        <w:rPr>
          <w:rFonts w:cs="Arial" w:ascii="Arial" w:hAnsi="Arial"/>
          <w:sz w:val="16"/>
        </w:rPr>
        <w:t xml:space="preserve">Must be </w:t>
      </w:r>
      <w:r>
        <w:rPr>
          <w:rFonts w:cs="Arial" w:ascii="Arial" w:hAnsi="Arial"/>
          <w:b/>
          <w:sz w:val="16"/>
        </w:rPr>
        <w:t>8-10</w:t>
      </w:r>
      <w:r>
        <w:rPr>
          <w:rFonts w:cs="Arial" w:ascii="Arial" w:hAnsi="Arial"/>
          <w:sz w:val="16"/>
        </w:rPr>
        <w:t xml:space="preserve"> characters.</w:t>
      </w:r>
    </w:p>
    <w:p>
      <w:pPr>
        <w:pStyle w:val="Normal"/>
        <w:rPr/>
      </w:pPr>
      <w:r>
        <w:rPr>
          <w:rFonts w:cs="Arial" w:ascii="Arial" w:hAnsi="Arial"/>
          <w:b/>
          <w:sz w:val="16"/>
        </w:rPr>
        <w:t>Title</w:t>
      </w:r>
      <w:r>
        <w:rPr>
          <w:b/>
          <w:sz w:val="16"/>
        </w:rPr>
        <w:t>:</w:t>
      </w:r>
      <w:r>
        <w:rPr/>
        <w:t xml:space="preserve">  ________________________________________            </w:t>
      </w:r>
      <w:r>
        <w:rPr/>
        <w:object w:dxaOrig="4180" w:dyaOrig="4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09pt;height:22pt" filled="f" o:ole="">
            <v:imagedata r:id="rId3" o:title=""/>
          </v:shape>
          <o:OLEObject Type="Embed" ProgID="" ShapeID="ole_rId2" DrawAspect="Content" ObjectID="_1159715106" r:id="rId2"/>
        </w:object>
      </w:r>
    </w:p>
    <w:p>
      <w:pPr>
        <w:pStyle w:val="Heading1"/>
        <w:ind w:hanging="0" w:start="0"/>
        <w:rPr>
          <w:b w:val="false"/>
        </w:rPr>
      </w:pPr>
      <w:r>
        <w:rPr>
          <w:b w:val="false"/>
        </w:rPr>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t>Signed:  ___________________________________________</w:t>
      </w:r>
    </w:p>
    <w:p>
      <w:pPr>
        <w:pStyle w:val="Heading1"/>
        <w:ind w:hanging="0" w:start="0"/>
        <w:rPr>
          <w:rFonts w:eastAsia="Arial"/>
          <w:b w:val="false"/>
        </w:rPr>
      </w:pPr>
      <w:r>
        <w:rPr>
          <w:rFonts w:eastAsia="Arial"/>
          <w:b w:val="false"/>
        </w:rPr>
        <w:t xml:space="preserve">                                                                                                                    </w:t>
      </w:r>
    </w:p>
    <w:p>
      <w:pPr>
        <w:pStyle w:val="Heading1"/>
        <w:ind w:hanging="0" w:start="0"/>
        <w:rPr/>
      </w:pPr>
      <w:r>
        <mc:AlternateContent>
          <mc:Choice Requires="wps">
            <w:drawing>
              <wp:anchor behindDoc="0" distT="0" distB="0" distL="114935" distR="114935" simplePos="0" locked="0" layoutInCell="1" allowOverlap="1" relativeHeight="3">
                <wp:simplePos x="0" y="0"/>
                <wp:positionH relativeFrom="column">
                  <wp:posOffset>3291840</wp:posOffset>
                </wp:positionH>
                <wp:positionV relativeFrom="paragraph">
                  <wp:posOffset>74295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9.2pt;margin-top:5.8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4">
                <wp:simplePos x="0" y="0"/>
                <wp:positionH relativeFrom="column">
                  <wp:posOffset>4663440</wp:posOffset>
                </wp:positionH>
                <wp:positionV relativeFrom="paragraph">
                  <wp:posOffset>74295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7.2pt;margin-top:5.85pt;width:14.4pt;height:21.15pt;mso-wrap-style:none;v-text-anchor:middle">
                <v:fill o:detectmouseclick="t" type="solid" color2="black"/>
                <v:stroke color="black" weight="12240" joinstyle="miter" endcap="flat"/>
                <w10:wrap type="none"/>
              </v:rect>
            </w:pict>
          </mc:Fallback>
        </mc:AlternateContent>
      </w:r>
      <w:r>
        <w:rPr/>
        <w:t>For and on behalf of</w:t>
      </w:r>
    </w:p>
    <w:p>
      <w:pPr>
        <w:pStyle w:val="Normal"/>
        <w:tabs>
          <w:tab w:val="clear" w:pos="720"/>
          <w:tab w:val="left" w:pos="4680" w:leader="none"/>
        </w:tabs>
        <w:rPr>
          <w:rFonts w:ascii="Arial" w:hAnsi="Arial" w:eastAsia="Arial" w:cs="Arial"/>
          <w:sz w:val="16"/>
        </w:rPr>
      </w:pPr>
      <w:r>
        <w:rPr>
          <w:rFonts w:eastAsia="Arial" w:cs="Arial" w:ascii="Arial" w:hAnsi="Arial"/>
          <w:sz w:val="16"/>
        </w:rPr>
        <w:t xml:space="preserve">                                                                                                                             </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t>__________________________________________________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t>Company Name (full legal name):</w:t>
      </w:r>
    </w:p>
    <w:p>
      <w:pPr>
        <w:pStyle w:val="Normal"/>
        <w:tabs>
          <w:tab w:val="clear" w:pos="720"/>
          <w:tab w:val="left" w:pos="4680" w:leader="none"/>
        </w:tabs>
        <w:rPr>
          <w:rFonts w:ascii="Arial" w:hAnsi="Arial" w:cs="Arial"/>
          <w:b/>
          <w:sz w:val="16"/>
        </w:rPr>
      </w:pPr>
      <w:r>
        <w:rPr>
          <w:rFonts w:cs="Arial" w:ascii="Arial" w:hAnsi="Arial"/>
          <w:b/>
          <w:sz w:val="16"/>
        </w:rPr>
        <w:t>As authorized agent for and on behalf of [List Principals]</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pPr>
      <w:r>
        <w:rPr>
          <w:rFonts w:eastAsia="Arial" w:cs="Arial" w:ascii="Arial" w:hAnsi="Arial"/>
          <w:b/>
          <w:sz w:val="16"/>
        </w:rPr>
        <w:t xml:space="preserve">                                                                                                                    </w:t>
      </w:r>
      <w:r>
        <w:rPr>
          <w:rFonts w:cs="Arial" w:ascii="Arial" w:hAnsi="Arial"/>
          <w:b/>
          <w:sz w:val="18"/>
        </w:rPr>
        <w:t>PLEASE FAX completed form to []</w:t>
      </w:r>
    </w:p>
    <w:p>
      <w:pPr>
        <w:pStyle w:val="Normal"/>
        <w:tabs>
          <w:tab w:val="clear" w:pos="720"/>
          <w:tab w:val="left" w:pos="4680" w:leader="none"/>
        </w:tabs>
        <w:rPr>
          <w:rFonts w:ascii="Arial" w:hAnsi="Arial" w:cs="Arial"/>
          <w:b/>
          <w:sz w:val="16"/>
        </w:rPr>
      </w:pPr>
      <w:r>
        <w:rPr>
          <w:rFonts w:cs="Arial" w:ascii="Arial" w:hAnsi="Arial"/>
          <w:b/>
          <w:sz w:val="16"/>
        </w:rPr>
        <w:t>-------------------------------------------------------------------------------------------------------------------------------------------------------------------------------</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tbl>
      <w:tblPr>
        <w:tblW w:w="9360" w:type="dxa"/>
        <w:jc w:val="start"/>
        <w:tblInd w:w="123" w:type="dxa"/>
        <w:tblLayout w:type="fixed"/>
        <w:tblCellMar>
          <w:top w:w="0" w:type="dxa"/>
          <w:start w:w="108" w:type="dxa"/>
          <w:bottom w:w="0" w:type="dxa"/>
          <w:end w:w="108" w:type="dxa"/>
        </w:tblCellMar>
      </w:tblPr>
      <w:tblGrid>
        <w:gridCol w:w="9360"/>
      </w:tblGrid>
      <w:tr>
        <w:trPr>
          <w:trHeight w:val="1080" w:hRule="atLeast"/>
        </w:trPr>
        <w:tc>
          <w:tcPr>
            <w:tcW w:w="93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680" w:leader="none"/>
              </w:tabs>
              <w:rPr>
                <w:rFonts w:ascii="Arial" w:hAnsi="Arial" w:cs="Arial"/>
                <w:sz w:val="16"/>
              </w:rPr>
            </w:pPr>
            <w:r>
              <w:rPr>
                <w:rFonts w:cs="Arial" w:ascii="Arial" w:hAnsi="Arial"/>
                <w:sz w:val="16"/>
              </w:rPr>
              <w:t>Date:</w:t>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pPr>
            <w:r>
              <w:rPr/>
              <w:t>Signed:  _________________________________________               Name:  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rFonts w:eastAsia="Arial"/>
              </w:rPr>
              <w:t xml:space="preserve">                                                                                                                </w:t>
            </w:r>
            <w:r>
              <w:rPr/>
              <w:t>Title:  ________________________________________</w:t>
            </w:r>
          </w:p>
          <w:p>
            <w:pPr>
              <w:pStyle w:val="Normal"/>
              <w:tabs>
                <w:tab w:val="clear" w:pos="720"/>
                <w:tab w:val="left" w:pos="4680" w:leader="none"/>
              </w:tabs>
              <w:rPr>
                <w:rFonts w:ascii="Arial" w:hAnsi="Arial" w:cs="Arial"/>
              </w:rPr>
            </w:pPr>
            <w:r>
              <w:rPr>
                <w:rFonts w:cs="Arial" w:ascii="Arial" w:hAnsi="Arial"/>
                <w:b/>
              </w:rPr>
              <w:t>For and on behalf of</w:t>
            </w:r>
            <w:r>
              <w:rPr>
                <w:rFonts w:cs="Arial" w:ascii="Arial" w:hAnsi="Arial"/>
              </w:rPr>
              <w:t xml:space="preserve"> [</w:t>
            </w:r>
            <w:r>
              <w:rPr>
                <w:rFonts w:cs="Arial" w:ascii="Arial" w:hAnsi="Arial"/>
                <w:b/>
              </w:rPr>
              <w:t>]Netco]</w:t>
            </w:r>
          </w:p>
        </w:tc>
      </w:tr>
    </w:tbl>
    <w:p>
      <w:pPr>
        <w:pStyle w:val="Normal"/>
        <w:tabs>
          <w:tab w:val="clear" w:pos="720"/>
          <w:tab w:val="left" w:pos="4680" w:leader="none"/>
        </w:tabs>
        <w:rPr>
          <w:rFonts w:ascii="Arial" w:hAnsi="Arial" w:cs="Arial"/>
          <w:b/>
          <w:sz w:val="16"/>
        </w:rPr>
      </w:pPr>
      <w:r>
        <w:rPr>
          <w:rFonts w:cs="Arial" w:ascii="Arial" w:hAnsi="Arial"/>
          <w:b/>
          <w:sz w:val="16"/>
        </w:rPr>
      </w:r>
    </w:p>
    <w:sectPr>
      <w:type w:val="nextPage"/>
      <w:pgSz w:w="12240" w:h="15840"/>
      <w:pgMar w:left="1440" w:right="1440" w:gutter="0" w:header="0" w:top="1440" w:footer="0" w:bottom="432"/>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carter4" w:date="0-00-00T00:00:00Z" w:initials="c">
    <w:p>
      <w:pPr>
        <w:overflowPunct w:val="false"/>
        <w:bidi w:val="0"/>
        <w:rPr/>
      </w:pPr>
      <w:r>
        <w:annotationRef/>
      </w:r>
      <w:r>
        <w:rPr>
          <w:rFonts w:ascii="Times New Roman" w:hAnsi="Times New Roman" w:eastAsia="Times New Roman" w:cs="Times New Roman"/>
          <w:color w:val="auto"/>
          <w:sz w:val="20"/>
          <w:szCs w:val="20"/>
          <w:lang w:eastAsia="en-US" w:val="en-US" w:bidi="ar-SA"/>
        </w:rPr>
        <w:t>Do we want to change the names of the 3 governing documents (PA, ETA, GTC)?</w:t>
      </w:r>
    </w:p>
  </w:comment>
  <w:comment w:id="1" w:author="ccarter4" w:date="0-00-00T00:00:00Z" w:initials="c">
    <w:p>
      <w:pPr>
        <w:overflowPunct w:val="false"/>
        <w:bidi w:val="0"/>
        <w:rPr/>
      </w:pPr>
      <w:r>
        <w:annotationRef/>
      </w:r>
      <w:r>
        <w:rPr>
          <w:rFonts w:ascii="Times New Roman" w:hAnsi="Times New Roman" w:eastAsia="Times New Roman" w:cs="Times New Roman"/>
          <w:color w:val="auto"/>
          <w:sz w:val="20"/>
          <w:szCs w:val="20"/>
          <w:lang w:eastAsia="en-US" w:val="en-US" w:bidi="ar-SA"/>
        </w:rPr>
        <w:t>Do we want to continue calling customers ‘counterparties’? This is really part of the Enron lexicon.</w:t>
      </w:r>
    </w:p>
  </w:comment>
  <w:comment w:id="2" w:author="ccarter4" w:date="0-00-00T00:00:00Z" w:initials="c">
    <w:p>
      <w:pPr>
        <w:overflowPunct w:val="false"/>
        <w:bidi w:val="0"/>
        <w:rPr/>
      </w:pPr>
      <w:r>
        <w:annotationRef/>
      </w:r>
      <w:r>
        <w:rPr>
          <w:rFonts w:ascii="Times New Roman" w:hAnsi="Times New Roman" w:eastAsia="Times New Roman" w:cs="Times New Roman"/>
          <w:color w:val="auto"/>
          <w:sz w:val="20"/>
          <w:szCs w:val="20"/>
          <w:lang w:eastAsia="en-US" w:val="en-US" w:bidi="ar-SA"/>
        </w:rPr>
        <w:t>This section was added in September, 2001 to reflect the 3</w:t>
      </w:r>
      <w:r>
        <w:rPr>
          <w:rFonts w:ascii="Times New Roman" w:hAnsi="Times New Roman" w:eastAsia="Times New Roman" w:cs="Times New Roman"/>
          <w:color w:val="auto"/>
          <w:sz w:val="20"/>
          <w:szCs w:val="20"/>
          <w:vertAlign w:val="superscript"/>
          <w:lang w:eastAsia="en-US" w:val="en-US" w:bidi="ar-SA"/>
        </w:rPr>
        <w:t>rd</w:t>
      </w:r>
      <w:r>
        <w:rPr>
          <w:rFonts w:ascii="Times New Roman" w:hAnsi="Times New Roman" w:eastAsia="Times New Roman" w:cs="Times New Roman"/>
          <w:color w:val="auto"/>
          <w:sz w:val="20"/>
          <w:szCs w:val="20"/>
          <w:lang w:eastAsia="en-US" w:val="en-US" w:bidi="ar-SA"/>
        </w:rPr>
        <w:t xml:space="preserve"> Party Posting agreements that were contemplated at the time.</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680" w:leader="none"/>
      </w:tabs>
      <w:outlineLvl w:val="0"/>
    </w:pPr>
    <w:rPr>
      <w:rFonts w:ascii="Arial" w:hAnsi="Arial" w:cs="Arial"/>
      <w:b/>
      <w:sz w:val="16"/>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2002-01-03T17:08:00Z</dcterms:created>
  <dc:creator>Lisa Dawn Gillette</dc:creator>
  <dc:description/>
  <dc:language>en-CA</dc:language>
  <cp:lastModifiedBy>Preferred Customer</cp:lastModifiedBy>
  <cp:lastPrinted>2002-01-03T13:39:00Z</cp:lastPrinted>
  <dcterms:modified xsi:type="dcterms:W3CDTF">2002-01-03T17:09:00Z</dcterms:modified>
  <cp:revision>4</cp:revision>
  <dc:subject/>
  <dc:title>NA Version 2 – June 9, 2000</dc:title>
</cp:coreProperties>
</file>