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1314929241"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10</w:t>
            </w:r>
          </w:hyperlink>
        </w:p>
        <w:p>
          <w:pPr>
            <w:pStyle w:val="TOC1"/>
            <w:rPr/>
          </w:pPr>
          <w:r>
            <w:rPr/>
            <w:t>ARTICLE ONE:</w:t>
            <w:tab/>
            <w:t>GENERAL DEFINITIONS</w:t>
            <w:tab/>
          </w:r>
          <w:hyperlink w:anchor="__RefHeading___Toc476669032">
            <w:r>
              <w:rPr>
                <w:rStyle w:val="IndexLink"/>
              </w:rPr>
              <w:t>10</w:t>
            </w:r>
          </w:hyperlink>
        </w:p>
        <w:p>
          <w:pPr>
            <w:pStyle w:val="TOC1"/>
            <w:rPr/>
          </w:pPr>
          <w:r>
            <w:rPr/>
            <w:t>ARTICLE TWO:</w:t>
            <w:tab/>
            <w:t>TRANSACTION TERMS AND CONDITIONS</w:t>
            <w:tab/>
          </w:r>
          <w:hyperlink w:anchor="__RefHeading___Toc476669033">
            <w:r>
              <w:rPr>
                <w:rStyle w:val="IndexLink"/>
              </w:rPr>
              <w:t>15</w:t>
            </w:r>
          </w:hyperlink>
        </w:p>
        <w:p>
          <w:pPr>
            <w:pStyle w:val="TOC2"/>
            <w:rPr/>
          </w:pPr>
          <w:r>
            <w:rPr/>
            <w:t>2.1</w:t>
            <w:tab/>
            <w:t>Transactions</w:t>
            <w:tab/>
          </w:r>
          <w:hyperlink w:anchor="__RefHeading___Toc476669034">
            <w:r>
              <w:rPr>
                <w:rStyle w:val="IndexLink"/>
              </w:rPr>
              <w:t>15</w:t>
            </w:r>
          </w:hyperlink>
        </w:p>
        <w:p>
          <w:pPr>
            <w:pStyle w:val="TOC2"/>
            <w:rPr/>
          </w:pPr>
          <w:r>
            <w:rPr/>
            <w:t>2.2</w:t>
            <w:tab/>
            <w:t>Governing Terms</w:t>
            <w:tab/>
          </w:r>
          <w:hyperlink w:anchor="__RefHeading___Toc476669035">
            <w:r>
              <w:rPr>
                <w:rStyle w:val="IndexLink"/>
              </w:rPr>
              <w:t>15</w:t>
            </w:r>
          </w:hyperlink>
        </w:p>
        <w:p>
          <w:pPr>
            <w:pStyle w:val="TOC2"/>
            <w:rPr/>
          </w:pPr>
          <w:r>
            <w:rPr/>
            <w:t>2.3</w:t>
            <w:tab/>
            <w:t>Confirmation</w:t>
            <w:tab/>
          </w:r>
          <w:hyperlink w:anchor="__RefHeading___Toc476669036">
            <w:r>
              <w:rPr>
                <w:rStyle w:val="IndexLink"/>
              </w:rPr>
              <w:t>15</w:t>
            </w:r>
          </w:hyperlink>
        </w:p>
        <w:p>
          <w:pPr>
            <w:pStyle w:val="TOC2"/>
            <w:rPr/>
          </w:pPr>
          <w:r>
            <w:rPr/>
            <w:t>2.4</w:t>
            <w:tab/>
            <w:t>Additional Confirmation Terms</w:t>
            <w:tab/>
          </w:r>
          <w:hyperlink w:anchor="__RefHeading___Toc476669037">
            <w:r>
              <w:rPr>
                <w:rStyle w:val="IndexLink"/>
              </w:rPr>
              <w:t>16</w:t>
            </w:r>
          </w:hyperlink>
        </w:p>
        <w:p>
          <w:pPr>
            <w:pStyle w:val="TOC2"/>
            <w:rPr/>
          </w:pPr>
          <w:r>
            <w:rPr/>
            <w:t>2.5</w:t>
            <w:tab/>
            <w:t>Recording</w:t>
            <w:tab/>
          </w:r>
          <w:hyperlink w:anchor="__RefHeading___Toc476669038">
            <w:r>
              <w:rPr>
                <w:rStyle w:val="IndexLink"/>
              </w:rPr>
              <w:t>16</w:t>
            </w:r>
          </w:hyperlink>
        </w:p>
        <w:p>
          <w:pPr>
            <w:pStyle w:val="TOC1"/>
            <w:rPr/>
          </w:pPr>
          <w:r>
            <w:rPr/>
            <w:t>ARTICLE THREE:</w:t>
            <w:tab/>
            <w:t>OBLIGATIONS AND DELIVERIES</w:t>
            <w:tab/>
          </w:r>
          <w:hyperlink w:anchor="__RefHeading___Toc476669039">
            <w:r>
              <w:rPr>
                <w:rStyle w:val="IndexLink"/>
              </w:rPr>
              <w:t>16</w:t>
            </w:r>
          </w:hyperlink>
        </w:p>
        <w:p>
          <w:pPr>
            <w:pStyle w:val="TOC2"/>
            <w:rPr/>
          </w:pPr>
          <w:r>
            <w:rPr/>
            <w:t>3.1</w:t>
            <w:tab/>
            <w:t>Seller’s and Buyer’s Obligations</w:t>
            <w:tab/>
          </w:r>
          <w:hyperlink w:anchor="__RefHeading___Toc476669040">
            <w:r>
              <w:rPr>
                <w:rStyle w:val="IndexLink"/>
              </w:rPr>
              <w:t>16</w:t>
            </w:r>
          </w:hyperlink>
        </w:p>
        <w:p>
          <w:pPr>
            <w:pStyle w:val="TOC2"/>
            <w:rPr/>
          </w:pPr>
          <w:r>
            <w:rPr/>
            <w:t>3.2</w:t>
            <w:tab/>
            <w:t>Transmission and Scheduling</w:t>
            <w:tab/>
          </w:r>
          <w:hyperlink w:anchor="__RefHeading___Toc476669041">
            <w:r>
              <w:rPr>
                <w:rStyle w:val="IndexLink"/>
              </w:rPr>
              <w:t>16</w:t>
            </w:r>
          </w:hyperlink>
        </w:p>
        <w:p>
          <w:pPr>
            <w:pStyle w:val="TOC2"/>
            <w:rPr/>
          </w:pPr>
          <w:r>
            <w:rPr/>
            <w:t>3.3</w:t>
            <w:tab/>
            <w:t>Force Majeure</w:t>
            <w:tab/>
          </w:r>
          <w:hyperlink w:anchor="__RefHeading___Toc476669042">
            <w:r>
              <w:rPr>
                <w:rStyle w:val="IndexLink"/>
              </w:rPr>
              <w:t>17</w:t>
            </w:r>
          </w:hyperlink>
        </w:p>
        <w:p>
          <w:pPr>
            <w:pStyle w:val="TOC1"/>
            <w:rPr/>
          </w:pPr>
          <w:r>
            <w:rPr/>
            <w:t>ARTICLE FOUR:</w:t>
            <w:tab/>
            <w:t>REMEDIES FOR FAILURE TO DELIVER/RECEIVE</w:t>
            <w:tab/>
          </w:r>
          <w:hyperlink w:anchor="__RefHeading___Toc476669043">
            <w:r>
              <w:rPr>
                <w:rStyle w:val="IndexLink"/>
              </w:rPr>
              <w:t>17</w:t>
            </w:r>
          </w:hyperlink>
        </w:p>
        <w:p>
          <w:pPr>
            <w:pStyle w:val="TOC2"/>
            <w:rPr/>
          </w:pPr>
          <w:r>
            <w:rPr/>
            <w:t>4.1</w:t>
            <w:tab/>
            <w:t>Seller Failure</w:t>
            <w:tab/>
          </w:r>
          <w:hyperlink w:anchor="__RefHeading___Toc476669044">
            <w:r>
              <w:rPr>
                <w:rStyle w:val="IndexLink"/>
              </w:rPr>
              <w:t>17</w:t>
            </w:r>
          </w:hyperlink>
        </w:p>
        <w:p>
          <w:pPr>
            <w:pStyle w:val="TOC2"/>
            <w:rPr/>
          </w:pPr>
          <w:r>
            <w:rPr/>
            <w:t>4.2</w:t>
            <w:tab/>
            <w:t>Buyer Failure</w:t>
            <w:tab/>
          </w:r>
          <w:hyperlink w:anchor="__RefHeading___Toc476669045">
            <w:r>
              <w:rPr>
                <w:rStyle w:val="IndexLink"/>
              </w:rPr>
              <w:t>17</w:t>
            </w:r>
          </w:hyperlink>
        </w:p>
        <w:p>
          <w:pPr>
            <w:pStyle w:val="TOC1"/>
            <w:rPr/>
          </w:pPr>
          <w:r>
            <w:rPr/>
            <w:t>ARTICLE FIVE:</w:t>
            <w:tab/>
            <w:t>EVENTS OF DEFAULT; REMEDIES</w:t>
            <w:tab/>
          </w:r>
          <w:hyperlink w:anchor="__RefHeading___Toc476669046">
            <w:r>
              <w:rPr>
                <w:rStyle w:val="IndexLink"/>
              </w:rPr>
              <w:t>17</w:t>
            </w:r>
          </w:hyperlink>
        </w:p>
        <w:p>
          <w:pPr>
            <w:pStyle w:val="TOC2"/>
            <w:rPr/>
          </w:pPr>
          <w:r>
            <w:rPr/>
            <w:t>5.1</w:t>
            <w:tab/>
            <w:t>Events of Default</w:t>
            <w:tab/>
          </w:r>
          <w:hyperlink w:anchor="__RefHeading___Toc476669047">
            <w:r>
              <w:rPr>
                <w:rStyle w:val="IndexLink"/>
              </w:rPr>
              <w:t>17</w:t>
            </w:r>
          </w:hyperlink>
        </w:p>
        <w:p>
          <w:pPr>
            <w:pStyle w:val="TOC2"/>
            <w:rPr/>
          </w:pPr>
          <w:r>
            <w:rPr/>
            <w:t>5.2</w:t>
            <w:tab/>
            <w:t>Declaration of an Early Termination Date and Calculation of Settlement Amounts</w:t>
            <w:tab/>
          </w:r>
          <w:hyperlink w:anchor="__RefHeading___Toc476669048">
            <w:r>
              <w:rPr>
                <w:rStyle w:val="IndexLink"/>
              </w:rPr>
              <w:t>19</w:t>
            </w:r>
          </w:hyperlink>
        </w:p>
        <w:p>
          <w:pPr>
            <w:pStyle w:val="TOC2"/>
            <w:rPr/>
          </w:pPr>
          <w:r>
            <w:rPr/>
            <w:t>5.3</w:t>
            <w:tab/>
            <w:t>Net Out of Settlement Amounts</w:t>
            <w:tab/>
          </w:r>
          <w:hyperlink w:anchor="__RefHeading___Toc476669049">
            <w:r>
              <w:rPr>
                <w:rStyle w:val="IndexLink"/>
              </w:rPr>
              <w:t>19</w:t>
            </w:r>
          </w:hyperlink>
        </w:p>
        <w:p>
          <w:pPr>
            <w:pStyle w:val="TOC2"/>
            <w:rPr/>
          </w:pPr>
          <w:r>
            <w:rPr/>
            <w:t>5.4</w:t>
            <w:tab/>
            <w:t>Notice of Payment of Termination Payment</w:t>
            <w:tab/>
          </w:r>
          <w:hyperlink w:anchor="__RefHeading___Toc476669050">
            <w:r>
              <w:rPr>
                <w:rStyle w:val="IndexLink"/>
              </w:rPr>
              <w:t>19</w:t>
            </w:r>
          </w:hyperlink>
        </w:p>
        <w:p>
          <w:pPr>
            <w:pStyle w:val="TOC2"/>
            <w:rPr/>
          </w:pPr>
          <w:r>
            <w:rPr/>
            <w:t>5.5</w:t>
            <w:tab/>
            <w:t>Disputes With Respect to Termination Payment</w:t>
            <w:tab/>
          </w:r>
          <w:hyperlink w:anchor="__RefHeading___Toc476669051">
            <w:r>
              <w:rPr>
                <w:rStyle w:val="IndexLink"/>
              </w:rPr>
              <w:t>19</w:t>
            </w:r>
          </w:hyperlink>
        </w:p>
        <w:p>
          <w:pPr>
            <w:pStyle w:val="TOC2"/>
            <w:rPr/>
          </w:pPr>
          <w:r>
            <w:rPr/>
            <w:t>5.6</w:t>
            <w:tab/>
            <w:t>Closeout Setoffs</w:t>
            <w:tab/>
          </w:r>
          <w:hyperlink w:anchor="__RefHeading___Toc476669052">
            <w:r>
              <w:rPr>
                <w:rStyle w:val="IndexLink"/>
              </w:rPr>
              <w:t>20</w:t>
            </w:r>
          </w:hyperlink>
        </w:p>
        <w:p>
          <w:pPr>
            <w:pStyle w:val="TOC2"/>
            <w:rPr/>
          </w:pPr>
          <w:r>
            <w:rPr/>
            <w:t>5.7</w:t>
            <w:tab/>
            <w:t>Suspension of Performance</w:t>
            <w:tab/>
          </w:r>
          <w:hyperlink w:anchor="__RefHeading___Toc476669053">
            <w:r>
              <w:rPr>
                <w:rStyle w:val="IndexLink"/>
              </w:rPr>
              <w:t>20</w:t>
            </w:r>
          </w:hyperlink>
        </w:p>
        <w:p>
          <w:pPr>
            <w:pStyle w:val="TOC1"/>
            <w:rPr/>
          </w:pPr>
          <w:r>
            <w:rPr/>
            <w:t>ARTICLE SIX:</w:t>
            <w:tab/>
            <w:t>PAYMENT AND NETTING</w:t>
            <w:tab/>
          </w:r>
          <w:hyperlink w:anchor="__RefHeading___Toc476669054">
            <w:r>
              <w:rPr>
                <w:rStyle w:val="IndexLink"/>
              </w:rPr>
              <w:t>20</w:t>
            </w:r>
          </w:hyperlink>
        </w:p>
        <w:p>
          <w:pPr>
            <w:pStyle w:val="TOC2"/>
            <w:rPr/>
          </w:pPr>
          <w:r>
            <w:rPr/>
            <w:t>6.1</w:t>
            <w:tab/>
            <w:t>Billing Period</w:t>
            <w:tab/>
          </w:r>
          <w:hyperlink w:anchor="__RefHeading___Toc476669055">
            <w:r>
              <w:rPr>
                <w:rStyle w:val="IndexLink"/>
              </w:rPr>
              <w:t>20</w:t>
            </w:r>
          </w:hyperlink>
        </w:p>
        <w:p>
          <w:pPr>
            <w:pStyle w:val="TOC2"/>
            <w:rPr/>
          </w:pPr>
          <w:r>
            <w:rPr/>
            <w:t>6.2</w:t>
            <w:tab/>
            <w:t>Timeliness of Payment</w:t>
            <w:tab/>
          </w:r>
          <w:hyperlink w:anchor="__RefHeading___Toc476669056">
            <w:r>
              <w:rPr>
                <w:rStyle w:val="IndexLink"/>
              </w:rPr>
              <w:t>21</w:t>
            </w:r>
          </w:hyperlink>
        </w:p>
        <w:p>
          <w:pPr>
            <w:pStyle w:val="TOC2"/>
            <w:rPr/>
          </w:pPr>
          <w:r>
            <w:rPr/>
            <w:t>6.3</w:t>
            <w:tab/>
            <w:t>Disputes and Adjustments of Invoices</w:t>
            <w:tab/>
          </w:r>
          <w:hyperlink w:anchor="__RefHeading___Toc476669057">
            <w:r>
              <w:rPr>
                <w:rStyle w:val="IndexLink"/>
              </w:rPr>
              <w:t>21</w:t>
            </w:r>
          </w:hyperlink>
        </w:p>
        <w:p>
          <w:pPr>
            <w:pStyle w:val="TOC2"/>
            <w:rPr/>
          </w:pPr>
          <w:r>
            <w:rPr/>
            <w:t>6.4</w:t>
            <w:tab/>
            <w:t>Netting of Payments</w:t>
            <w:tab/>
          </w:r>
          <w:hyperlink w:anchor="__RefHeading___Toc476669058">
            <w:r>
              <w:rPr>
                <w:rStyle w:val="IndexLink"/>
              </w:rPr>
              <w:t>21</w:t>
            </w:r>
          </w:hyperlink>
        </w:p>
        <w:p>
          <w:pPr>
            <w:pStyle w:val="TOC2"/>
            <w:rPr/>
          </w:pPr>
          <w:r>
            <w:rPr/>
            <w:t>6.5</w:t>
            <w:tab/>
            <w:t>Payment Obligation Absent Netting</w:t>
            <w:tab/>
          </w:r>
          <w:hyperlink w:anchor="__RefHeading___Toc476669059">
            <w:r>
              <w:rPr>
                <w:rStyle w:val="IndexLink"/>
              </w:rPr>
              <w:t>21</w:t>
            </w:r>
          </w:hyperlink>
        </w:p>
        <w:p>
          <w:pPr>
            <w:pStyle w:val="TOC2"/>
            <w:rPr/>
          </w:pPr>
          <w:r>
            <w:rPr/>
            <w:t>6.6</w:t>
            <w:tab/>
            <w:t>Security</w:t>
            <w:tab/>
          </w:r>
          <w:hyperlink w:anchor="__RefHeading___Toc476669060">
            <w:r>
              <w:rPr>
                <w:rStyle w:val="IndexLink"/>
              </w:rPr>
              <w:t>22</w:t>
            </w:r>
          </w:hyperlink>
        </w:p>
        <w:p>
          <w:pPr>
            <w:pStyle w:val="TOC2"/>
            <w:rPr/>
          </w:pPr>
          <w:r>
            <w:rPr/>
            <w:t>6.7</w:t>
            <w:tab/>
            <w:t>Payment for Options</w:t>
            <w:tab/>
          </w:r>
          <w:hyperlink w:anchor="__RefHeading___Toc476669061">
            <w:r>
              <w:rPr>
                <w:rStyle w:val="IndexLink"/>
              </w:rPr>
              <w:t>22</w:t>
            </w:r>
          </w:hyperlink>
        </w:p>
        <w:p>
          <w:pPr>
            <w:pStyle w:val="TOC2"/>
            <w:rPr/>
          </w:pPr>
          <w:r>
            <w:rPr/>
            <w:t>6.8</w:t>
            <w:tab/>
            <w:t>Transaction Netting</w:t>
            <w:tab/>
          </w:r>
          <w:hyperlink w:anchor="__RefHeading___Toc476669062">
            <w:r>
              <w:rPr>
                <w:rStyle w:val="IndexLink"/>
              </w:rPr>
              <w:t>22</w:t>
            </w:r>
          </w:hyperlink>
        </w:p>
        <w:p>
          <w:pPr>
            <w:pStyle w:val="TOC1"/>
            <w:rPr/>
          </w:pPr>
          <w:r>
            <w:rPr/>
            <w:t>ARTICLE SEVEN:</w:t>
            <w:tab/>
            <w:t>LIMITATIONS</w:t>
            <w:tab/>
          </w:r>
          <w:hyperlink w:anchor="__RefHeading___Toc476669063">
            <w:r>
              <w:rPr>
                <w:rStyle w:val="IndexLink"/>
              </w:rPr>
              <w:t>22</w:t>
            </w:r>
          </w:hyperlink>
        </w:p>
        <w:p>
          <w:pPr>
            <w:pStyle w:val="TOC2"/>
            <w:rPr/>
          </w:pPr>
          <w:r>
            <w:rPr/>
            <w:t>7.1</w:t>
            <w:tab/>
            <w:t>Limitation of Remedies, Liability and Damages</w:t>
            <w:tab/>
          </w:r>
          <w:hyperlink w:anchor="__RefHeading___Toc476669064">
            <w:r>
              <w:rPr>
                <w:rStyle w:val="IndexLink"/>
              </w:rPr>
              <w:t>22</w:t>
            </w:r>
          </w:hyperlink>
        </w:p>
        <w:p>
          <w:pPr>
            <w:pStyle w:val="TOC1"/>
            <w:rPr/>
          </w:pPr>
          <w:r>
            <w:rPr/>
            <w:t>ARTICLE EIGHT:</w:t>
            <w:tab/>
            <w:t>CREDIT AND COLLATERAL REQUIREMENTS</w:t>
            <w:tab/>
          </w:r>
          <w:hyperlink w:anchor="__RefHeading___Toc476669065">
            <w:r>
              <w:rPr>
                <w:rStyle w:val="IndexLink"/>
              </w:rPr>
              <w:t>23</w:t>
            </w:r>
          </w:hyperlink>
        </w:p>
        <w:p>
          <w:pPr>
            <w:pStyle w:val="TOC2"/>
            <w:rPr/>
          </w:pPr>
          <w:r>
            <w:rPr/>
            <w:t>8.1</w:t>
            <w:tab/>
            <w:t>Party A Credit Protection</w:t>
            <w:tab/>
          </w:r>
          <w:hyperlink w:anchor="__RefHeading___Toc476669066">
            <w:r>
              <w:rPr>
                <w:rStyle w:val="IndexLink"/>
              </w:rPr>
              <w:t>23</w:t>
            </w:r>
          </w:hyperlink>
        </w:p>
        <w:p>
          <w:pPr>
            <w:pStyle w:val="TOC2"/>
            <w:rPr/>
          </w:pPr>
          <w:r>
            <w:rPr/>
            <w:t>8.2</w:t>
            <w:tab/>
            <w:t>Party B Credit Protection</w:t>
            <w:tab/>
          </w:r>
          <w:hyperlink w:anchor="__RefHeading___Toc476669067">
            <w:r>
              <w:rPr>
                <w:rStyle w:val="IndexLink"/>
              </w:rPr>
              <w:t>25</w:t>
            </w:r>
          </w:hyperlink>
        </w:p>
        <w:p>
          <w:pPr>
            <w:pStyle w:val="TOC2"/>
            <w:rPr/>
          </w:pPr>
          <w:r>
            <w:rPr/>
            <w:t>8.3</w:t>
            <w:tab/>
            <w:t>Grant of Security Interest/Remedies</w:t>
            <w:tab/>
          </w:r>
          <w:hyperlink w:anchor="__RefHeading___Toc476669068">
            <w:r>
              <w:rPr>
                <w:rStyle w:val="IndexLink"/>
              </w:rPr>
              <w:t>26</w:t>
            </w:r>
          </w:hyperlink>
        </w:p>
        <w:p>
          <w:pPr>
            <w:pStyle w:val="TOC1"/>
            <w:rPr/>
          </w:pPr>
          <w:r>
            <w:rPr/>
            <w:t>ARTICLE NINE:</w:t>
            <w:tab/>
            <w:t>GOVERNMENTAL CHARGES</w:t>
            <w:tab/>
          </w:r>
          <w:hyperlink w:anchor="__RefHeading___Toc476669069">
            <w:r>
              <w:rPr>
                <w:rStyle w:val="IndexLink"/>
              </w:rPr>
              <w:t>27</w:t>
            </w:r>
          </w:hyperlink>
        </w:p>
        <w:p>
          <w:pPr>
            <w:pStyle w:val="TOC2"/>
            <w:rPr/>
          </w:pPr>
          <w:r>
            <w:rPr/>
            <w:t>9.1</w:t>
            <w:tab/>
            <w:t>Cooperation</w:t>
            <w:tab/>
          </w:r>
          <w:hyperlink w:anchor="__RefHeading___Toc476669070">
            <w:r>
              <w:rPr>
                <w:rStyle w:val="IndexLink"/>
              </w:rPr>
              <w:t>27</w:t>
            </w:r>
          </w:hyperlink>
        </w:p>
        <w:p>
          <w:pPr>
            <w:pStyle w:val="TOC2"/>
            <w:rPr/>
          </w:pPr>
          <w:r>
            <w:rPr/>
            <w:t>9.2</w:t>
            <w:tab/>
            <w:t>Governmental Charges</w:t>
            <w:tab/>
          </w:r>
          <w:hyperlink w:anchor="__RefHeading___Toc476669071">
            <w:r>
              <w:rPr>
                <w:rStyle w:val="IndexLink"/>
              </w:rPr>
              <w:t>27</w:t>
            </w:r>
          </w:hyperlink>
        </w:p>
        <w:p>
          <w:pPr>
            <w:pStyle w:val="TOC1"/>
            <w:rPr/>
          </w:pPr>
          <w:r>
            <w:rPr/>
            <w:t>ARTICLE TEN:</w:t>
            <w:tab/>
            <w:t>MISCELLANEOUS</w:t>
            <w:tab/>
          </w:r>
          <w:hyperlink w:anchor="__RefHeading___Toc476669072">
            <w:r>
              <w:rPr>
                <w:rStyle w:val="IndexLink"/>
              </w:rPr>
              <w:t>27</w:t>
            </w:r>
          </w:hyperlink>
        </w:p>
        <w:p>
          <w:pPr>
            <w:pStyle w:val="TOC2"/>
            <w:rPr/>
          </w:pPr>
          <w:r>
            <w:rPr/>
            <w:t>10.1</w:t>
            <w:tab/>
            <w:t>Term of Master Agreement</w:t>
            <w:tab/>
          </w:r>
          <w:hyperlink w:anchor="__RefHeading___Toc476669073">
            <w:r>
              <w:rPr>
                <w:rStyle w:val="IndexLink"/>
              </w:rPr>
              <w:t>27</w:t>
            </w:r>
          </w:hyperlink>
        </w:p>
        <w:p>
          <w:pPr>
            <w:pStyle w:val="TOC2"/>
            <w:rPr/>
          </w:pPr>
          <w:r>
            <w:rPr/>
            <w:t>10.2</w:t>
            <w:tab/>
            <w:t>Representations and Warranties</w:t>
            <w:tab/>
          </w:r>
          <w:hyperlink w:anchor="__RefHeading___Toc476669074">
            <w:r>
              <w:rPr>
                <w:rStyle w:val="IndexLink"/>
              </w:rPr>
              <w:t>27</w:t>
            </w:r>
          </w:hyperlink>
        </w:p>
        <w:p>
          <w:pPr>
            <w:pStyle w:val="TOC2"/>
            <w:rPr/>
          </w:pPr>
          <w:r>
            <w:rPr/>
            <w:t>10.3</w:t>
            <w:tab/>
            <w:t>Title and Risk of Loss</w:t>
            <w:tab/>
          </w:r>
          <w:hyperlink w:anchor="__RefHeading___Toc476669075">
            <w:r>
              <w:rPr>
                <w:rStyle w:val="IndexLink"/>
              </w:rPr>
              <w:t>29</w:t>
            </w:r>
          </w:hyperlink>
        </w:p>
        <w:p>
          <w:pPr>
            <w:pStyle w:val="TOC2"/>
            <w:rPr/>
          </w:pPr>
          <w:r>
            <w:rPr/>
            <w:t>10.4</w:t>
            <w:tab/>
            <w:t>Indemnity</w:t>
            <w:tab/>
          </w:r>
          <w:hyperlink w:anchor="__RefHeading___Toc476669076">
            <w:r>
              <w:rPr>
                <w:rStyle w:val="IndexLink"/>
              </w:rPr>
              <w:t>29</w:t>
            </w:r>
          </w:hyperlink>
        </w:p>
        <w:p>
          <w:pPr>
            <w:pStyle w:val="TOC2"/>
            <w:rPr/>
          </w:pPr>
          <w:r>
            <w:rPr/>
            <w:t>10.5</w:t>
            <w:tab/>
            <w:t>Assignment</w:t>
            <w:tab/>
          </w:r>
          <w:hyperlink w:anchor="__RefHeading___Toc476669077">
            <w:r>
              <w:rPr>
                <w:rStyle w:val="IndexLink"/>
              </w:rPr>
              <w:t>29</w:t>
            </w:r>
          </w:hyperlink>
        </w:p>
        <w:p>
          <w:pPr>
            <w:pStyle w:val="TOC2"/>
            <w:rPr/>
          </w:pPr>
          <w:r>
            <w:rPr/>
            <w:t>10.6</w:t>
            <w:tab/>
            <w:t>Governing Law</w:t>
            <w:tab/>
          </w:r>
          <w:hyperlink w:anchor="__RefHeading___Toc476669078">
            <w:r>
              <w:rPr>
                <w:rStyle w:val="IndexLink"/>
              </w:rPr>
              <w:t>29</w:t>
            </w:r>
          </w:hyperlink>
        </w:p>
        <w:p>
          <w:pPr>
            <w:pStyle w:val="TOC2"/>
            <w:rPr/>
          </w:pPr>
          <w:r>
            <w:rPr/>
            <w:t>10.7</w:t>
            <w:tab/>
            <w:t>Notices</w:t>
            <w:tab/>
          </w:r>
          <w:hyperlink w:anchor="__RefHeading___Toc476669079">
            <w:r>
              <w:rPr>
                <w:rStyle w:val="IndexLink"/>
              </w:rPr>
              <w:t>30</w:t>
            </w:r>
          </w:hyperlink>
        </w:p>
        <w:p>
          <w:pPr>
            <w:pStyle w:val="TOC2"/>
            <w:rPr/>
          </w:pPr>
          <w:r>
            <w:rPr/>
            <w:t>10.8</w:t>
            <w:tab/>
            <w:t>General</w:t>
            <w:tab/>
          </w:r>
          <w:hyperlink w:anchor="__RefHeading___Toc476669080">
            <w:r>
              <w:rPr>
                <w:rStyle w:val="IndexLink"/>
              </w:rPr>
              <w:t>30</w:t>
            </w:r>
          </w:hyperlink>
        </w:p>
        <w:p>
          <w:pPr>
            <w:pStyle w:val="TOC2"/>
            <w:rPr/>
          </w:pPr>
          <w:r>
            <w:rPr/>
            <w:t>10.9</w:t>
            <w:tab/>
            <w:t>Audit</w:t>
            <w:tab/>
          </w:r>
          <w:hyperlink w:anchor="__RefHeading___Toc476669081">
            <w:r>
              <w:rPr>
                <w:rStyle w:val="IndexLink"/>
              </w:rPr>
              <w:t>30</w:t>
            </w:r>
          </w:hyperlink>
        </w:p>
        <w:p>
          <w:pPr>
            <w:pStyle w:val="TOC2"/>
            <w:rPr/>
          </w:pPr>
          <w:r>
            <w:rPr/>
            <w:t>10.10</w:t>
            <w:tab/>
            <w:t>Forward Contract</w:t>
            <w:tab/>
          </w:r>
          <w:hyperlink w:anchor="__RefHeading___Toc476669082">
            <w:r>
              <w:rPr>
                <w:rStyle w:val="IndexLink"/>
              </w:rPr>
              <w:t>31</w:t>
            </w:r>
          </w:hyperlink>
        </w:p>
        <w:p>
          <w:pPr>
            <w:pStyle w:val="TOC2"/>
            <w:rPr/>
          </w:pPr>
          <w:r>
            <w:rPr/>
            <w:t>10.11</w:t>
            <w:tab/>
            <w:t>Confidentiality</w:t>
            <w:tab/>
          </w:r>
          <w:hyperlink w:anchor="__RefHeading___Toc476669083">
            <w:r>
              <w:rPr>
                <w:rStyle w:val="IndexLink"/>
              </w:rPr>
              <w:t>31</w:t>
            </w:r>
          </w:hyperlink>
        </w:p>
        <w:p>
          <w:pPr>
            <w:pStyle w:val="TOC1"/>
            <w:rPr/>
          </w:pPr>
          <w:r>
            <w:rPr/>
          </w:r>
          <w:r>
            <w:rPr/>
            <w:fldChar w:fldCharType="end"/>
          </w:r>
        </w:p>
      </w:sdtContent>
    </w:sdt>
    <w:p>
      <w:pPr>
        <w:pStyle w:val="Normal"/>
        <w:rPr>
          <w:caps/>
          <w:lang w:val="en-CA" w:eastAsia="en-CA"/>
        </w:rPr>
      </w:pPr>
      <w:r>
        <w:rPr>
          <w:caps/>
          <w:lang w:val="en-CA" w:eastAsia="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date it is accepted by the Counterparty on the Website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(including, without limitation, the any Collateral Annex (the "Collateral Annex") and all Transactions (including any confirmations accepted in accordance with Section 2.3 hereto) shall be referred to as the "Agreement."  This Master Agreement shall be considered to be General Terms and Conditions as such term is referenced in the Password Application and the Electronic Trading Agreement posted on the Website.  The Parties to this </w:t>
      </w:r>
      <w:r>
        <w:rPr>
          <w:i/>
        </w:rPr>
        <w:t>Master Agreement</w:t>
      </w:r>
      <w:r>
        <w:rPr/>
        <w:t xml:space="preserve"> are the following:</w:t>
      </w:r>
    </w:p>
    <w:p>
      <w:pPr>
        <w:pStyle w:val="coverbody"/>
        <w:spacing w:before="0" w:after="120"/>
        <w:rPr/>
      </w:pPr>
      <w:r>
        <w:rPr/>
      </w:r>
    </w:p>
    <w:tbl>
      <w:tblPr>
        <w:tblW w:w="10260" w:type="dxa"/>
        <w:jc w:val="start"/>
        <w:tblInd w:w="108" w:type="dxa"/>
        <w:tblLayout w:type="fixed"/>
        <w:tblCellMar>
          <w:top w:w="0" w:type="dxa"/>
          <w:start w:w="108" w:type="dxa"/>
          <w:bottom w:w="0" w:type="dxa"/>
          <w:end w:w="108" w:type="dxa"/>
        </w:tblCellMar>
      </w:tblPr>
      <w:tblGrid>
        <w:gridCol w:w="5220"/>
        <w:gridCol w:w="504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[Netco] ("Party A")</w:t>
            </w:r>
          </w:p>
        </w:tc>
        <w:tc>
          <w:tcPr>
            <w:tcW w:w="5040" w:type="dxa"/>
            <w:tcBorders/>
          </w:tcPr>
          <w:p>
            <w:pPr>
              <w:pStyle w:val="Normal"/>
              <w:tabs>
                <w:tab w:val="clear" w:pos="720"/>
                <w:tab w:val="right" w:pos="4475" w:leader="none"/>
              </w:tabs>
              <w:spacing w:before="0" w:after="120"/>
              <w:ind w:start="245" w:end="0"/>
              <w:rPr/>
            </w:pPr>
            <w:r>
              <w:rPr>
                <w:b/>
                <w:bCs/>
                <w:sz w:val="20"/>
              </w:rPr>
              <w:t>Name:</w:t>
            </w:r>
            <w:r>
              <w:rPr>
                <w:sz w:val="20"/>
              </w:rPr>
              <w:t xml:space="preserve"> ("</w:t>
            </w:r>
            <w:r>
              <w:rPr>
                <w:sz w:val="20"/>
                <w:szCs w:val="24"/>
              </w:rPr>
              <w:t>Counterparty</w:t>
            </w:r>
            <w:r>
              <w:rPr>
                <w:sz w:val="20"/>
              </w:rPr>
              <w:t>"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04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04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04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04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[Netco]</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04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[Netco]</w:t>
              <w:br/>
              <w:t xml:space="preserve">ABA: </w:t>
              <w:tab/>
              <w:t xml:space="preserve">Routing # </w:t>
              <w:br/>
              <w:t xml:space="preserve">ACCT: </w:t>
              <w:tab/>
              <w:t>#</w:t>
              <w:br/>
              <w:t>Confirmation:  [Netco]</w:t>
              <w:br/>
              <w:tab/>
              <w:t xml:space="preserve">             Credit and Collections</w:t>
              <w:br/>
              <w:tab/>
              <w:t xml:space="preserve">              (713) 853-5667</w:t>
            </w:r>
          </w:p>
        </w:tc>
        <w:tc>
          <w:tcPr>
            <w:tcW w:w="504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[Netco].</w:t>
              <w:br/>
              <w:t xml:space="preserve">1400 Smith </w:t>
              <w:br/>
              <w:t>Houston, Texas  77002-7361</w:t>
              <w:br/>
              <w:t>Attn: Power Settlements Manager</w:t>
              <w:br/>
              <w:t>Phone: (713) 853-3163</w:t>
              <w:br/>
              <w:t>Facsimile: (713) 646-4061</w:t>
            </w:r>
          </w:p>
        </w:tc>
        <w:tc>
          <w:tcPr>
            <w:tcW w:w="504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spacing w:lineRule="auto" w:line="240"/>
              <w:rPr>
                <w:b/>
                <w:bCs/>
                <w:sz w:val="20"/>
              </w:rPr>
            </w:pPr>
            <w:r>
              <w:rPr>
                <w:b/>
                <w:bCs/>
                <w:sz w:val="20"/>
              </w:rPr>
              <w:t>With additional Notices of an Event of Default or Potential Event of Default to:</w:t>
            </w:r>
          </w:p>
          <w:p>
            <w:pPr>
              <w:pStyle w:val="Normal"/>
              <w:tabs>
                <w:tab w:val="clear" w:pos="720"/>
                <w:tab w:val="right" w:pos="4320" w:leader="none"/>
              </w:tabs>
              <w:ind w:start="245" w:end="0"/>
              <w:rPr>
                <w:sz w:val="20"/>
              </w:rPr>
            </w:pPr>
            <w:r>
              <w:rPr>
                <w:sz w:val="20"/>
              </w:rPr>
              <w:t>[Netco]</w:t>
              <w:br/>
              <w:t>1400 Smith Street</w:t>
              <w:br/>
              <w:t>Houston, Texas  77002-7361</w:t>
              <w:br/>
              <w:t>Attn: Assistant General Counsel, Trading Group</w:t>
              <w:br/>
              <w:t>Facsimile: (713) 646-4818</w:t>
            </w:r>
          </w:p>
        </w:tc>
        <w:tc>
          <w:tcPr>
            <w:tcW w:w="504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A Tariff</w:t>
        <w:tab/>
        <w:t>Tariff FERC</w:t>
        <w:tab/>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0368" w:type="dxa"/>
        <w:jc w:val="start"/>
        <w:tblInd w:w="0" w:type="dxa"/>
        <w:tblLayout w:type="fixed"/>
        <w:tblCellMar>
          <w:top w:w="0" w:type="dxa"/>
          <w:start w:w="108" w:type="dxa"/>
          <w:bottom w:w="0" w:type="dxa"/>
          <w:end w:w="108" w:type="dxa"/>
        </w:tblCellMar>
      </w:tblPr>
      <w:tblGrid>
        <w:gridCol w:w="3708"/>
        <w:gridCol w:w="2970"/>
        <w:gridCol w:w="144"/>
        <w:gridCol w:w="354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6660" w:type="dxa"/>
            <w:gridSpan w:val="3"/>
            <w:tcBorders/>
          </w:tcPr>
          <w:p>
            <w:pPr>
              <w:pStyle w:val="Normal"/>
              <w:spacing w:before="0" w:after="120"/>
              <w:rPr/>
            </w:pPr>
            <w:r>
              <w:rPr>
                <w:rFonts w:eastAsia="Wingdings 2" w:cs="Wingdings 2" w:ascii="Wingdings 2" w:hAnsi="Wingdings 2"/>
                <w:b/>
                <w:bCs/>
                <w:sz w:val="32"/>
              </w:rPr>
              <w:sym w:font="Wingdings 2" w:char="f02a"/>
            </w: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6660" w:type="dxa"/>
            <w:gridSpan w:val="3"/>
            <w:tcBorders/>
          </w:tcPr>
          <w:p>
            <w:pPr>
              <w:pStyle w:val="Normal"/>
              <w:rPr/>
            </w:pPr>
            <w:r>
              <w:rPr>
                <w:rFonts w:eastAsia="Wingdings 2" w:cs="Wingdings 2" w:ascii="Wingdings 2" w:hAnsi="Wingdings 2"/>
                <w:b/>
                <w:bCs/>
                <w:sz w:val="28"/>
              </w:rPr>
              <w:sym w:font="Wingdings 2" w:char="f054"/>
            </w: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66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0" w:after="120"/>
              <w:rPr/>
            </w:pPr>
            <w:r>
              <w:rPr>
                <w:rFonts w:eastAsia="Wingdings 2" w:cs="Wingdings 2" w:ascii="Wingdings 2" w:hAnsi="Wingdings 2"/>
                <w:b/>
                <w:bCs/>
                <w:sz w:val="32"/>
              </w:rPr>
              <w:sym w:font="Wingdings 2" w:char="f02a"/>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A:</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Other Entity:</w:t>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120" w:after="120"/>
              <w:rPr>
                <w:rFonts w:ascii="Times New Roman" w:hAnsi="Times New Roman" w:cs="Times New Roman"/>
                <w:szCs w:val="24"/>
              </w:rPr>
            </w:pPr>
            <w:r>
              <w:rPr>
                <w:rFonts w:cs="Times New Roman" w:ascii="Times New Roman" w:hAnsi="Times New Roman"/>
                <w:szCs w:val="24"/>
              </w:rPr>
              <w:t>Cross Default Amount $_________</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Normal"/>
              <w:tabs>
                <w:tab w:val="clear" w:pos="720"/>
                <w:tab w:val="right" w:pos="2673" w:leader="none"/>
              </w:tabs>
              <w:spacing w:before="0" w:after="120"/>
              <w:rPr/>
            </w:pPr>
            <w:r>
              <w:rPr>
                <w:rFonts w:eastAsia="Wingdings 2" w:cs="Wingdings 2" w:ascii="Wingdings 2" w:hAnsi="Wingdings 2"/>
                <w:b/>
                <w:bCs/>
                <w:sz w:val="32"/>
              </w:rPr>
              <w:sym w:font="Wingdings 2" w:char="f02a"/>
            </w:r>
            <w:r>
              <w:rPr>
                <w:sz w:val="20"/>
              </w:rPr>
              <w:t xml:space="preserve">  </w:t>
            </w:r>
            <w:r>
              <w:rPr>
                <w:sz w:val="20"/>
              </w:rPr>
              <w:t>Cross Default for Party B:</w:t>
            </w:r>
          </w:p>
        </w:tc>
        <w:tc>
          <w:tcPr>
            <w:tcW w:w="369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rFonts w:eastAsia="Wingdings 2" w:cs="Wingdings 2" w:ascii="Wingdings 2" w:hAnsi="Wingdings 2"/>
                <w:b/>
                <w:bCs/>
                <w:sz w:val="32"/>
              </w:rPr>
              <w:sym w:font="Wingdings 2" w:char="f02a"/>
            </w:r>
            <w:r>
              <w:rPr>
                <w:sz w:val="20"/>
              </w:rPr>
              <w:t xml:space="preserve">  </w:t>
            </w:r>
            <w:r>
              <w:rPr>
                <w:sz w:val="20"/>
              </w:rPr>
              <w:t>Party B:</w:t>
            </w:r>
            <w:r>
              <w:rPr>
                <w:sz w:val="20"/>
                <w:u w:val="single"/>
              </w:rPr>
              <w:tab/>
            </w:r>
          </w:p>
        </w:tc>
        <w:tc>
          <w:tcPr>
            <w:tcW w:w="369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eastAsia="Wingdings 2" w:cs="Wingdings 2" w:ascii="Wingdings 2" w:hAnsi="Wingdings 2"/>
                <w:b/>
                <w:bCs/>
                <w:sz w:val="32"/>
              </w:rPr>
              <w:sym w:font="Wingdings 2" w:char="f02a"/>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369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666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28"/>
              </w:rPr>
              <w:sym w:font="Wingdings 2" w:char="f054"/>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66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6660" w:type="dxa"/>
            <w:gridSpan w:val="3"/>
            <w:tcBorders/>
          </w:tcPr>
          <w:p>
            <w:pPr>
              <w:pStyle w:val="Normal"/>
              <w:tabs>
                <w:tab w:val="clear" w:pos="720"/>
                <w:tab w:val="left" w:pos="7092" w:leader="none"/>
              </w:tabs>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28"/>
              </w:rPr>
              <w:sym w:font="Wingdings 2" w:char="f054"/>
            </w:r>
            <w:r>
              <w:rPr>
                <w:sz w:val="20"/>
              </w:rPr>
              <w:tab/>
              <w:t>Option A; provided, if there is a guarantee issued for the benefit of Party A to guaranty transactions with Party B for the sale or purchase of a Product covered by this Master Agreement, Option B shall apply, and Party A shall supply the financial information of the guarantor in accordance with Section 8.1(a).</w:t>
              <w:br/>
            </w:r>
            <w:r>
              <w:rPr>
                <w:rFonts w:eastAsia="Wingdings 2" w:cs="Wingdings 2" w:ascii="Wingdings 2" w:hAnsi="Wingdings 2"/>
                <w:b/>
                <w:bCs/>
                <w:sz w:val="32"/>
              </w:rPr>
              <w:sym w:font="Wingdings 2" w:char="f02a"/>
            </w:r>
            <w:r>
              <w:rPr>
                <w:sz w:val="20"/>
              </w:rPr>
              <w:tab/>
              <w:t xml:space="preserve">Option B   Specify: </w:t>
            </w:r>
            <w:r>
              <w:rPr>
                <w:sz w:val="20"/>
                <w:u w:val="single"/>
              </w:rPr>
              <w:tab/>
            </w:r>
            <w:r>
              <w:rPr>
                <w:sz w:val="20"/>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B Rounding Amount: $</w:t>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666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rFonts w:eastAsia="Wingdings 2" w:cs="Wingdings 2" w:ascii="Wingdings 2" w:hAnsi="Wingdings 2"/>
                <w:b/>
                <w:bCs/>
                <w:sz w:val="32"/>
              </w:rPr>
              <w:sym w:font="Wingdings 2" w:char="f02a"/>
            </w:r>
            <w:r>
              <w:rPr>
                <w:sz w:val="20"/>
              </w:rPr>
              <w:tab/>
              <w:t>Option A</w:t>
              <w:br/>
            </w:r>
            <w:r>
              <w:rPr>
                <w:rFonts w:eastAsia="Wingdings 2" w:cs="Wingdings 2" w:ascii="Wingdings 2" w:hAnsi="Wingdings 2"/>
                <w:b/>
                <w:bCs/>
                <w:sz w:val="32"/>
              </w:rPr>
              <w:sym w:font="Wingdings 2" w:char="f02a"/>
            </w:r>
            <w:r>
              <w:rPr>
                <w:sz w:val="20"/>
              </w:rPr>
              <w:tab/>
              <w:t xml:space="preserve">Option B   Specify: </w:t>
            </w:r>
            <w:r>
              <w:rPr>
                <w:sz w:val="20"/>
                <w:u w:val="single"/>
              </w:rPr>
              <w:br/>
            </w:r>
            <w:r>
              <w:rPr>
                <w:rFonts w:eastAsia="Wingdings 2" w:cs="Wingdings 2" w:ascii="Wingdings 2" w:hAnsi="Wingdings 2"/>
                <w:b/>
                <w:bCs/>
                <w:sz w:val="32"/>
              </w:rPr>
              <w:sym w:font="Wingdings 2" w:char="f02a"/>
            </w:r>
            <w:r>
              <w:rPr>
                <w:sz w:val="20"/>
              </w:rPr>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left" w:pos="1332" w:leader="none"/>
                <w:tab w:val="right" w:pos="4572" w:leader="none"/>
              </w:tabs>
              <w:spacing w:before="0" w:after="120"/>
              <w:ind w:start="972"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6660" w:type="dxa"/>
            <w:gridSpan w:val="3"/>
            <w:tcBorders/>
          </w:tcPr>
          <w:p>
            <w:pPr>
              <w:pStyle w:val="Normal"/>
              <w:tabs>
                <w:tab w:val="clear" w:pos="720"/>
                <w:tab w:val="right" w:pos="3852" w:leader="none"/>
              </w:tabs>
              <w:spacing w:before="0" w:after="120"/>
              <w:rPr>
                <w:sz w:val="20"/>
              </w:rPr>
            </w:pPr>
            <w:r>
              <w:rPr>
                <w:sz w:val="20"/>
              </w:rPr>
              <w:t>Party A Rounding Amount: $</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6660" w:type="dxa"/>
            <w:gridSpan w:val="3"/>
            <w:tcBorders/>
          </w:tcPr>
          <w:p>
            <w:pPr>
              <w:pStyle w:val="Normal"/>
              <w:keepNext w:val="true"/>
              <w:keepLines/>
              <w:tabs>
                <w:tab w:val="clear" w:pos="720"/>
                <w:tab w:val="left" w:pos="702" w:leader="none"/>
              </w:tabs>
              <w:spacing w:before="0" w:after="120"/>
              <w:ind w:start="360" w:end="0"/>
              <w:rPr/>
            </w:pPr>
            <w:r>
              <w:rPr>
                <w:rFonts w:eastAsia="Wingdings 2" w:cs="Wingdings 2" w:ascii="Wingdings 2" w:hAnsi="Wingdings 2"/>
                <w:b/>
                <w:bCs/>
                <w:sz w:val="28"/>
              </w:rPr>
              <w:sym w:font="Wingdings 2" w:char="f054"/>
            </w:r>
            <w:r>
              <w:rPr>
                <w:sz w:val="20"/>
              </w:rPr>
              <w:tab/>
              <w:t>Not Applicable</w:t>
              <w:br/>
            </w:r>
            <w:r>
              <w:rPr>
                <w:rFonts w:eastAsia="Wingdings 2" w:cs="Wingdings 2" w:ascii="Wingdings 2" w:hAnsi="Wingdings 2"/>
                <w:b/>
                <w:bCs/>
                <w:sz w:val="32"/>
              </w:rPr>
              <w:sym w:font="Wingdings 2" w:char="f02a"/>
            </w:r>
            <w:r>
              <w:rPr>
                <w:sz w:val="20"/>
              </w:rPr>
              <w:tab/>
              <w:t>Applicable</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spacing w:before="0" w:after="120"/>
              <w:ind w:hanging="360" w:start="720" w:end="0"/>
              <w:rPr/>
            </w:pPr>
            <w:r>
              <w:rPr>
                <w:rFonts w:eastAsia="Wingdings 2" w:cs="Wingdings 2" w:ascii="Wingdings 2" w:hAnsi="Wingdings 2"/>
                <w:b/>
                <w:bCs/>
                <w:sz w:val="32"/>
              </w:rPr>
              <w:sym w:font="Wingdings 2" w:char="f02a"/>
            </w:r>
            <w:r>
              <w:rPr>
                <w:sz w:val="20"/>
              </w:rPr>
              <w:tab/>
              <w:t>It shall be a Downgrade Event for Party A if [Party A’s][Party A's Guarantor] Credit Rating falls below __________ from S&amp;P or  __________ from Moody's or if  [Party A][Party A's Guarantor] is not rated by either S&amp;P or Moody's</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hanging="360" w:start="720" w:end="0"/>
              <w:rPr>
                <w:sz w:val="20"/>
              </w:rPr>
            </w:pPr>
            <w:r>
              <w:rPr>
                <w:rFonts w:eastAsia="Wingdings 2" w:cs="Wingdings 2" w:ascii="Wingdings 2" w:hAnsi="Wingdings 2"/>
                <w:b/>
                <w:bCs/>
                <w:sz w:val="32"/>
              </w:rPr>
              <w:sym w:font="Wingdings 2" w:char="f02a"/>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w:t>
            </w:r>
          </w:p>
        </w:tc>
      </w:tr>
      <w:tr>
        <w:trPr/>
        <w:tc>
          <w:tcPr>
            <w:tcW w:w="3708" w:type="dxa"/>
            <w:tcBorders/>
          </w:tcPr>
          <w:p>
            <w:pPr>
              <w:pStyle w:val="Normal"/>
              <w:snapToGrid w:val="false"/>
              <w:spacing w:before="0" w:after="120"/>
              <w:rPr>
                <w:sz w:val="20"/>
                <w:u w:val="single"/>
              </w:rPr>
            </w:pPr>
            <w:r>
              <w:rPr>
                <w:sz w:val="20"/>
                <w:u w:val="single"/>
              </w:rPr>
            </w:r>
          </w:p>
        </w:tc>
        <w:tc>
          <w:tcPr>
            <w:tcW w:w="666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66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rFonts w:eastAsia="Wingdings 2" w:cs="Wingdings 2" w:ascii="Wingdings 2" w:hAnsi="Wingdings 2"/>
                <w:b/>
                <w:bCs/>
                <w:sz w:val="28"/>
              </w:rPr>
              <w:sym w:font="Wingdings 2" w:char="f054"/>
            </w:r>
            <w:r>
              <w:rPr>
                <w:sz w:val="20"/>
              </w:rPr>
              <w:t xml:space="preserve">  </w:t>
            </w:r>
            <w:r>
              <w:rPr>
                <w:sz w:val="20"/>
              </w:rPr>
              <w:t>Confidentiality Applicable</w:t>
            </w:r>
          </w:p>
        </w:tc>
        <w:tc>
          <w:tcPr>
            <w:tcW w:w="354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6660" w:type="dxa"/>
            <w:gridSpan w:val="3"/>
            <w:tcBorders>
              <w:top w:val="single" w:sz="4" w:space="0" w:color="000000"/>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6660" w:type="dxa"/>
            <w:gridSpan w:val="3"/>
            <w:tcBorders/>
          </w:tcPr>
          <w:p>
            <w:pPr>
              <w:pStyle w:val="Normal"/>
              <w:rPr/>
            </w:pPr>
            <w:r>
              <w:rPr>
                <w:rFonts w:eastAsia="Wingdings 2" w:cs="Wingdings 2" w:ascii="Wingdings 2" w:hAnsi="Wingdings 2"/>
                <w:b/>
                <w:bCs/>
                <w:sz w:val="32"/>
              </w:rPr>
              <w:sym w:font="Wingdings 2" w:char="f02a"/>
            </w: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6660" w:type="dxa"/>
            <w:gridSpan w:val="3"/>
            <w:tcBorders/>
          </w:tcPr>
          <w:p>
            <w:pPr>
              <w:pStyle w:val="Normal"/>
              <w:spacing w:before="0" w:after="60"/>
              <w:rPr/>
            </w:pPr>
            <w:r>
              <w:rPr>
                <w:rFonts w:eastAsia="Wingdings 2" w:cs="Wingdings 2" w:ascii="Wingdings 2" w:hAnsi="Wingdings 2"/>
                <w:b/>
                <w:bCs/>
                <w:sz w:val="32"/>
              </w:rPr>
              <w:sym w:font="Wingdings 2" w:char="f02a"/>
            </w:r>
            <w:r>
              <w:rPr>
                <w:sz w:val="20"/>
              </w:rPr>
              <w:t xml:space="preserve">  </w:t>
            </w:r>
            <w:r>
              <w:rPr>
                <w:sz w:val="20"/>
              </w:rPr>
              <w:t>Add Section 8.4.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666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7"/>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7"/>
        </w:numPr>
        <w:tabs>
          <w:tab w:val="clear" w:pos="720"/>
          <w:tab w:val="left" w:pos="360" w:leader="none"/>
          <w:tab w:val="left" w:pos="900" w:leader="none"/>
        </w:tabs>
        <w:spacing w:before="0" w:after="120"/>
        <w:ind w:hanging="0" w:start="360" w:end="0"/>
        <w:jc w:val="both"/>
        <w:rPr>
          <w:sz w:val="20"/>
        </w:rPr>
      </w:pPr>
      <w:r>
        <w:rPr>
          <w:sz w:val="20"/>
        </w:rPr>
        <w:t>Section 1.50 is amended by changing "Section 2.4" to "Section 2.5".</w:t>
      </w:r>
    </w:p>
    <w:p>
      <w:pPr>
        <w:pStyle w:val="Normal"/>
        <w:numPr>
          <w:ilvl w:val="1"/>
          <w:numId w:val="17"/>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7"/>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numPr>
          <w:ilvl w:val="1"/>
          <w:numId w:val="17"/>
        </w:numPr>
        <w:tabs>
          <w:tab w:val="clear" w:pos="720"/>
          <w:tab w:val="left" w:pos="360" w:leader="none"/>
          <w:tab w:val="left" w:pos="900" w:leader="none"/>
        </w:tabs>
        <w:spacing w:before="0" w:after="120"/>
        <w:ind w:hanging="0" w:start="360" w:end="0"/>
        <w:rPr>
          <w:szCs w:val="24"/>
        </w:rPr>
      </w:pPr>
      <w:r>
        <w:rPr/>
        <w:t>The following definition is added as Section 1.62:  “Website” means the website or other internet-based electronic trading facility established by Party A that references this Master Agreement.</w:t>
      </w:r>
    </w:p>
    <w:p>
      <w:pPr>
        <w:pStyle w:val="Heading2"/>
        <w:numPr>
          <w:ilvl w:val="0"/>
          <w:numId w:val="17"/>
        </w:numPr>
        <w:tabs>
          <w:tab w:val="left" w:pos="360" w:leader="none"/>
        </w:tabs>
        <w:spacing w:before="0" w:after="120"/>
        <w:ind w:hanging="0" w:start="0" w:end="0"/>
        <w:rPr>
          <w:sz w:val="20"/>
        </w:rPr>
      </w:pPr>
      <w:r>
        <w:rPr>
          <w:b/>
          <w:bCs/>
          <w:sz w:val="20"/>
        </w:rPr>
        <w:t>Transactions</w:t>
      </w:r>
      <w:r>
        <w:rPr>
          <w:sz w:val="20"/>
        </w:rPr>
        <w:t>.  Section 2.1 is hereby amended by adding the phrase “, electronically via an electronic trading platform “ immediately before the phrase “or, if expressly required by either Party” in the first sentence.</w:t>
      </w:r>
    </w:p>
    <w:p>
      <w:pPr>
        <w:pStyle w:val="Heading2"/>
        <w:numPr>
          <w:ilvl w:val="0"/>
          <w:numId w:val="17"/>
        </w:numPr>
        <w:tabs>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w:t>
      </w:r>
      <w:r>
        <w:rPr>
          <w:sz w:val="20"/>
        </w:rPr>
        <w:t xml:space="preserve">Party A may, but shall not be required to, furnish Party B with a confirmation of each Transaction executed through the Website and the terms of each such confirmation shall be valid and binding on Party B unless objected to within three (3) business days of the date of transmission thereof.  Failure to send a confirmation of shall not constitute a default or have any other ramification under this Master Agreement.  In the event of any conflict between the terms of this Master Agreement and the terms of a confirmation, the terms of the confirmation shall control.   </w:t>
      </w:r>
    </w:p>
    <w:p>
      <w:pPr>
        <w:pStyle w:val="BodyText"/>
        <w:jc w:val="both"/>
        <w:rPr>
          <w:sz w:val="20"/>
        </w:rPr>
      </w:pPr>
      <w:r>
        <w:rPr>
          <w:sz w:val="20"/>
        </w:rPr>
        <w:t>In the event Party A elects not to send a confirmation, the Transaction shall be binding on the Parties and shall be governed by all other provisions of the Master Agreement to the same extent as if confirmations had been sent by one Party and executed and returned by the other.  The electronic records of the Transaction available on the Website shall supplement, form a part of and be subject to the terms of this Master Agreement.  The electronic records of such Transaction shall be the controlling evidence of the Parties’ agreement with regard to that particular Transaction.  To the extent that the terms in the electronic records of a Transaction conflict with any terms in the Master Agreement, the terms in the electronic records of the Transaction shall control.  Each of Party A and Party B consents to the introduction into evidence of the electronic records of such Transaction maintained by Party A and waives any right to object to such records as not being in writing or constituting a writing.  Such electronic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electronic records on the basis that such were not originated or maintained in documentary form under either the hearsay rule, the best evidence rule or other rule of evidence.”</w:t>
      </w:r>
    </w:p>
    <w:p>
      <w:pPr>
        <w:pStyle w:val="Normal"/>
        <w:jc w:val="both"/>
        <w:rPr/>
      </w:pPr>
      <w:r>
        <w:rPr>
          <w:sz w:val="20"/>
        </w:rPr>
        <w:t xml:space="preserve">(d)   </w:t>
      </w:r>
      <w:r>
        <w:rPr>
          <w:b/>
          <w:bCs/>
          <w:sz w:val="20"/>
        </w:rPr>
        <w:t>Transmission and Scheduling.</w:t>
      </w:r>
      <w:r>
        <w:rPr>
          <w:sz w:val="20"/>
        </w:rPr>
        <w:t xml:space="preserve"> Section 3.2 is hereby amended by adding the following text to the end of the Section:</w:t>
      </w:r>
    </w:p>
    <w:p>
      <w:pPr>
        <w:pStyle w:val="Normal"/>
        <w:jc w:val="both"/>
        <w:rPr>
          <w:sz w:val="20"/>
        </w:rPr>
      </w:pPr>
      <w:r>
        <w:rPr>
          <w:sz w:val="20"/>
        </w:rPr>
      </w:r>
    </w:p>
    <w:p>
      <w:pPr>
        <w:pStyle w:val="Normal"/>
        <w:jc w:val="both"/>
        <w:rPr/>
      </w:pPr>
      <w:r>
        <w:rPr>
          <w:sz w:val="20"/>
        </w:rPr>
        <w:t>“</w:t>
      </w:r>
      <w:r>
        <w:rPr>
          <w:sz w:val="20"/>
        </w:rPr>
        <w:t>Product deliveries shall be scheduled in accordance with the then-current applicable tariffs, protocols, operating procedures and scheduling practices for the relevant region.  For example</w:t>
      </w:r>
      <w:r>
        <w:rPr>
          <w:b/>
          <w:bCs/>
          <w:sz w:val="20"/>
        </w:rPr>
        <w:t xml:space="preserve">, </w:t>
      </w:r>
      <w:r>
        <w:rPr>
          <w:sz w:val="20"/>
        </w:rPr>
        <w:t>as of the date of this Master Agreement, the scheduling deadlines for the following regions are as follows:</w:t>
      </w:r>
    </w:p>
    <w:p>
      <w:pPr>
        <w:pStyle w:val="Normal"/>
        <w:ind w:start="1080" w:end="0"/>
        <w:jc w:val="both"/>
        <w:rPr>
          <w:sz w:val="20"/>
        </w:rPr>
      </w:pPr>
      <w:r>
        <w:rPr>
          <w:sz w:val="20"/>
        </w:rPr>
      </w:r>
    </w:p>
    <w:p>
      <w:pPr>
        <w:pStyle w:val="Normal"/>
        <w:numPr>
          <w:ilvl w:val="2"/>
          <w:numId w:val="12"/>
        </w:numPr>
        <w:jc w:val="both"/>
        <w:rPr>
          <w:sz w:val="20"/>
        </w:rPr>
      </w:pPr>
      <w:r>
        <w:rPr>
          <w:sz w:val="20"/>
        </w:rPr>
        <w:t>PJM Western Hub: Daily preschedule by 12:00 pm EPT on business day prior to delivery</w:t>
      </w:r>
    </w:p>
    <w:p>
      <w:pPr>
        <w:pStyle w:val="Normal"/>
        <w:numPr>
          <w:ilvl w:val="2"/>
          <w:numId w:val="12"/>
        </w:numPr>
        <w:jc w:val="both"/>
        <w:rPr>
          <w:sz w:val="20"/>
        </w:rPr>
      </w:pPr>
      <w:r>
        <w:rPr>
          <w:sz w:val="20"/>
        </w:rPr>
        <w:t xml:space="preserve">Into TVA/Cinergy/Entergy/ComEd/Ameren/SOCO: Daily preschedule by 11:00 am CPT on the business day prior to delivery. </w:t>
      </w:r>
    </w:p>
    <w:p>
      <w:pPr>
        <w:pStyle w:val="BodyText"/>
        <w:ind w:firstLine="540" w:start="1260" w:end="0"/>
        <w:jc w:val="both"/>
        <w:rPr>
          <w:sz w:val="20"/>
        </w:rPr>
      </w:pPr>
      <w:r>
        <w:rPr>
          <w:sz w:val="20"/>
        </w:rPr>
        <w:t>iii.</w:t>
        <w:tab/>
        <w:t>ERCOT: Daily preschedule by 10:00 am CPT on business day prior to delivery.”</w:t>
      </w:r>
    </w:p>
    <w:p>
      <w:pPr>
        <w:pStyle w:val="Heading2"/>
        <w:numPr>
          <w:ilvl w:val="0"/>
          <w:numId w:val="0"/>
        </w:numPr>
        <w:tabs>
          <w:tab w:val="left" w:pos="360" w:leader="none"/>
        </w:tabs>
        <w:spacing w:before="0" w:after="120"/>
        <w:ind w:hanging="0" w:start="0"/>
        <w:rPr/>
      </w:pPr>
      <w:r>
        <w:rPr>
          <w:bCs/>
          <w:sz w:val="20"/>
        </w:rPr>
        <w:t>(e)</w:t>
        <w:tab/>
      </w:r>
      <w:r>
        <w:rPr>
          <w:b/>
          <w:sz w:val="20"/>
        </w:rPr>
        <w:t>Events of Default.</w:t>
      </w:r>
      <w:r>
        <w:rPr>
          <w:sz w:val="20"/>
        </w:rPr>
        <w:t xml:space="preserve">  </w:t>
      </w:r>
    </w:p>
    <w:p>
      <w:pPr>
        <w:pStyle w:val="Heading2"/>
        <w:numPr>
          <w:ilvl w:val="0"/>
          <w:numId w:val="15"/>
        </w:numPr>
        <w:tabs>
          <w:tab w:val="left" w:pos="360" w:leader="none"/>
        </w:tabs>
        <w:spacing w:before="0" w:after="120"/>
        <w:rPr>
          <w:sz w:val="20"/>
        </w:rPr>
      </w:pPr>
      <w:r>
        <w:rPr>
          <w:sz w:val="20"/>
        </w:rPr>
        <w:t xml:space="preserve">Section 5.1(c) is hereby amended to replace the phrase “three (3) Business Days” with the phrase “thirty (30) days” in the fifth line thereof.  </w:t>
      </w:r>
    </w:p>
    <w:p>
      <w:pPr>
        <w:pStyle w:val="Heading2"/>
        <w:numPr>
          <w:ilvl w:val="0"/>
          <w:numId w:val="15"/>
        </w:numPr>
        <w:tabs>
          <w:tab w:val="left" w:pos="360" w:leader="none"/>
        </w:tabs>
        <w:spacing w:before="0" w:after="120"/>
        <w:rPr>
          <w:sz w:val="20"/>
        </w:rPr>
      </w:pPr>
      <w:r>
        <w:rPr>
          <w:sz w:val="20"/>
        </w:rPr>
        <w:t xml:space="preserve">Section 5.1(f) is revised to add the phrase “or if such entity’s creditworthiness is materially weaker than that of such Party” to the end of the subsection. </w:t>
      </w:r>
    </w:p>
    <w:p>
      <w:pPr>
        <w:pStyle w:val="Heading2"/>
        <w:numPr>
          <w:ilvl w:val="0"/>
          <w:numId w:val="15"/>
        </w:numPr>
        <w:tabs>
          <w:tab w:val="left" w:pos="360" w:leader="none"/>
        </w:tabs>
        <w:spacing w:before="0" w:after="120"/>
        <w:rPr>
          <w:sz w:val="20"/>
        </w:rPr>
      </w:pPr>
      <w:r>
        <w:rPr>
          <w:sz w:val="20"/>
        </w:rPr>
        <w:t xml:space="preserve">[Section 5.1(g) is amended to add the phrase “(after giving effect to any applicable notice requirement or grace period)” to the end of the section.]  </w:t>
      </w:r>
    </w:p>
    <w:p>
      <w:pPr>
        <w:pStyle w:val="Heading2"/>
        <w:numPr>
          <w:ilvl w:val="0"/>
          <w:numId w:val="15"/>
        </w:numPr>
        <w:tabs>
          <w:tab w:val="left" w:pos="360" w:leader="none"/>
        </w:tabs>
        <w:spacing w:before="0" w:after="120"/>
        <w:rPr>
          <w:sz w:val="20"/>
        </w:rPr>
      </w:pPr>
      <w:r>
        <w:rPr>
          <w:sz w:val="20"/>
        </w:rPr>
        <w:t xml:space="preserve">Section 5.1(h)(ii) is hereby amended to delete the following phrase from the third and fourth line thereof:  "and such failure shall not be remedied within three (3) Business Days after written notice".  </w:t>
      </w:r>
    </w:p>
    <w:p>
      <w:pPr>
        <w:pStyle w:val="Heading2"/>
        <w:numPr>
          <w:ilvl w:val="0"/>
          <w:numId w:val="15"/>
        </w:numPr>
        <w:tabs>
          <w:tab w:val="left" w:pos="360" w:leader="none"/>
        </w:tabs>
        <w:spacing w:before="0" w:after="120"/>
        <w:rPr>
          <w:sz w:val="20"/>
        </w:rPr>
      </w:pPr>
      <w:r>
        <w:rPr>
          <w:sz w:val="20"/>
        </w:rPr>
        <w:t>The following is added as a new Section 5.1(h)(vi):  “such Guarantor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Guarantor under the guaranty made in connection with this Agreement to which it or its predecessor was a party by operation of law or pursuant to an agreement reasonably satisfactory to the other Party or if such entity’s creditworthiness is materially weaker than that of such Guarantor.”</w:t>
      </w:r>
    </w:p>
    <w:p>
      <w:pPr>
        <w:pStyle w:val="Normal"/>
        <w:tabs>
          <w:tab w:val="clear" w:pos="720"/>
          <w:tab w:val="left" w:pos="360" w:leader="none"/>
        </w:tabs>
        <w:autoSpaceDE w:val="false"/>
        <w:rPr/>
      </w:pPr>
      <w:r>
        <w:rPr>
          <w:bCs/>
          <w:sz w:val="20"/>
        </w:rPr>
        <w:t>(f)</w:t>
        <w:tab/>
      </w:r>
      <w:r>
        <w:rPr>
          <w:b/>
          <w:sz w:val="20"/>
        </w:rPr>
        <w:t>Declaration of an Early Termination Date and Calculation of Settlement Amount</w:t>
      </w:r>
      <w:r>
        <w:rPr>
          <w:sz w:val="20"/>
        </w:rPr>
        <w:t xml:space="preserve">.  Section 5.2 is amended to </w:t>
      </w:r>
      <w:r>
        <w:rPr>
          <w:rFonts w:cs="Arial" w:ascii="Arial" w:hAnsi="Arial"/>
          <w:color w:val="0000FF"/>
          <w:sz w:val="20"/>
        </w:rPr>
        <w:t xml:space="preserve"> </w:t>
      </w:r>
      <w:r>
        <w:rPr>
          <w:sz w:val="20"/>
        </w:rPr>
        <w:t xml:space="preserve">(a) add the phrase "Regardless of which Party designates the Early Termination Date,” immediately before the phrase “[t]he Non-Defaulting shall calculate” in the second sentence; (b) delete the following phrase from the last two lines: "under applicable law on the Early Termination Date, as soon thereafter as is reasonably practicable)"; (c) change the phrase "(i) to designate" to "to (i) designate" in the third line thereof; and (d) add the following sentence after the end of the first sentence:  "The Defaulting Party shall have the right at any time at least thirty (30) days after such Party or its Guarantor becomes Bankrupt to designate the Early Termination Date, which date shall be no earlier than the day such notice is effective and no later than twenty (20) days after such notice is effective."  </w:t>
      </w:r>
    </w:p>
    <w:p>
      <w:pPr>
        <w:pStyle w:val="coverbody"/>
        <w:tabs>
          <w:tab w:val="clear" w:pos="720"/>
          <w:tab w:val="left" w:pos="360" w:leader="none"/>
          <w:tab w:val="right" w:pos="6012" w:leader="none"/>
        </w:tabs>
        <w:spacing w:before="0" w:after="120"/>
        <w:rPr>
          <w:sz w:val="20"/>
          <w:szCs w:val="24"/>
        </w:rPr>
      </w:pPr>
      <w:r>
        <w:rPr>
          <w:sz w:val="20"/>
          <w:szCs w:val="24"/>
        </w:rPr>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8"/>
        </w:numPr>
        <w:tabs>
          <w:tab w:val="clear" w:pos="720"/>
          <w:tab w:val="left" w:pos="360" w:leader="none"/>
        </w:tabs>
        <w:spacing w:before="0" w:after="120"/>
        <w:ind w:hanging="360" w:start="36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agreements(s), instrument(s) or undertakings(s) which are Owed (as defined in Section 5.6) as of the Early Termination Date (including for these purposes amounts payable pursuant to Excluded Transactions) have been fully and finally performed."</w:t>
      </w:r>
    </w:p>
    <w:p>
      <w:pPr>
        <w:pStyle w:val="Normal"/>
        <w:tabs>
          <w:tab w:val="clear" w:pos="720"/>
          <w:tab w:val="left" w:pos="360" w:leader="none"/>
        </w:tabs>
        <w:spacing w:before="0" w:after="120"/>
        <w:jc w:val="both"/>
        <w:rPr>
          <w:sz w:val="20"/>
        </w:rPr>
      </w:pPr>
      <w:r>
        <w:rPr>
          <w:sz w:val="20"/>
        </w:rPr>
        <w:t>(h)</w:t>
        <w:tab/>
      </w:r>
      <w:r>
        <w:rPr>
          <w:b/>
          <w:sz w:val="20"/>
        </w:rPr>
        <w:t xml:space="preserve">Closeout Setoffs.  </w:t>
      </w:r>
      <w:r>
        <w:rPr>
          <w:bCs/>
          <w:sz w:val="20"/>
        </w:rPr>
        <w:t>Section 5.6, Option B is amended to delete the Section entirely and replace it with the following:</w:t>
      </w:r>
    </w:p>
    <w:p>
      <w:pPr>
        <w:pStyle w:val="Normal"/>
        <w:tabs>
          <w:tab w:val="clear" w:pos="720"/>
          <w:tab w:val="left" w:pos="360" w:leader="none"/>
        </w:tabs>
        <w:spacing w:before="0" w:after="120"/>
        <w:jc w:val="both"/>
        <w:rPr>
          <w:sz w:val="20"/>
        </w:rPr>
      </w:pPr>
      <w:r>
        <w:rPr>
          <w:sz w:val="20"/>
        </w:rPr>
        <w:t>“</w:t>
      </w:r>
      <w:r>
        <w:rPr>
          <w:sz w:val="20"/>
        </w:rPr>
        <w:t>After calculation of a Termination Payment in accordance with Section 5.3, the Non-Defaulting Party (“NDP”) may, at its option and in its discretion, set off, against any amounts Owed to the Defaulting Party (“DP”) by NDP or any Affiliate of NDP under this Agreement or under any other agreement(s), instrument(s) or undertaking(s), any amounts Owed by DP to NDP or any of NDP's Affiliates under this Agreement or under any other agreement(s), instrument(s) or undertaking(s).  The obligations of DP and NDP under this Agreement in respect of such amounts shall be deemed satisfied and discharged to the extent of any such setoff exercised by NDP and/or NDP's Affiliates.  NDP will give DP notice of any setoff effected under this Section as soon as practicable after the setoff is effected provided that failure to give such notice shall not affect the validity of the setoff.  For purposes of Sections 5.4 and 5.6, "Owed" shall mean any amounts owed or otherwise accrued and payable (regardless of whether such amounts have been or could be invoiced) as of the Early Termination Date.</w:t>
      </w:r>
    </w:p>
    <w:p>
      <w:pPr>
        <w:pStyle w:val="coverbody"/>
        <w:tabs>
          <w:tab w:val="clear" w:pos="720"/>
          <w:tab w:val="left" w:pos="360" w:leader="none"/>
        </w:tabs>
        <w:spacing w:before="0" w:after="120"/>
        <w:rPr>
          <w:szCs w:val="24"/>
        </w:rPr>
      </w:pPr>
      <w:r>
        <w:rPr/>
        <w:t xml:space="preserve">Amounts subject to the setoff permitted in this Section 5.6 may be converted by NDP into any currency in </w:t>
      </w:r>
      <w:r>
        <w:rPr>
          <w:bCs/>
        </w:rPr>
        <w:t>which</w:t>
      </w:r>
      <w:r>
        <w:rPr>
          <w:b/>
        </w:rPr>
        <w:t xml:space="preserve"> </w:t>
      </w:r>
      <w:r>
        <w:rPr/>
        <w:t>any obligation Owed is denominated at the rate of exchange at which NDP, acting in a reasonable manner and in good faith, would be able to purchase the relevant amount of the currency being converted. If an obligation is unascertained, NDP may in good faith estimate that obligation and setoff in respect of the estimate, subject to the relevant Party accounting to the other when the obligation is ascertained.   To the extent that any Transactions are not yet liquidated in accordance with Section 5.2, the NDP shall be entitled, at its option and in its discretion, to withhold payment of a commercially reasonable portion of the aggregate amount, if any, determined under the first paragraph above to be payable by NDP to DP after any pertinent setoff(s), until such Transactions are liquidated in accordance with Section 5.2.     Nothing in this Section 5.6 shall be effective to create a charge or other security interest except as may be provided under applicable law.  This setoff provision shall be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5.6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5.6, as agent on behalf of its Affiliates, which Affiliates shall receive the benefits of this Section 5.6 and otherwise be bound as if such Affiliates had directly signed this Agreement as it relates to Section 5.6.”</w:t>
      </w:r>
    </w:p>
    <w:p>
      <w:pPr>
        <w:pStyle w:val="Normal"/>
        <w:tabs>
          <w:tab w:val="clear" w:pos="720"/>
          <w:tab w:val="left" w:pos="360" w:leader="none"/>
        </w:tabs>
        <w:spacing w:before="0" w:after="120"/>
        <w:jc w:val="both"/>
        <w:rPr/>
      </w:pPr>
      <w:r>
        <w:rPr>
          <w:bCs/>
          <w:sz w:val="20"/>
        </w:rPr>
        <w:t>(i)</w:t>
        <w:tab/>
      </w: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4"/>
        </w:numPr>
        <w:tabs>
          <w:tab w:val="clear" w:pos="720"/>
          <w:tab w:val="left" w:pos="360" w:leader="none"/>
        </w:tabs>
        <w:spacing w:before="0" w:after="120"/>
        <w:ind w:hanging="360" w:start="36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bCs/>
          <w:sz w:val="20"/>
        </w:rPr>
        <w:t>Eligibility</w:t>
      </w:r>
      <w:r>
        <w:rPr>
          <w:sz w:val="20"/>
        </w:rPr>
        <w:t>.  Section 10.2 (ix) is amended to read in its entirety as follows:</w:t>
      </w:r>
    </w:p>
    <w:p>
      <w:pPr>
        <w:pStyle w:val="Normal"/>
        <w:tabs>
          <w:tab w:val="clear" w:pos="720"/>
          <w:tab w:val="left" w:pos="360" w:leader="none"/>
        </w:tabs>
        <w:spacing w:before="0" w:after="120"/>
        <w:jc w:val="both"/>
        <w:rPr>
          <w:sz w:val="20"/>
        </w:rPr>
      </w:pPr>
      <w:r>
        <w:rPr>
          <w:sz w:val="20"/>
        </w:rPr>
        <w:t>"(ix) (x) it is a “forward contract merchant” within the meaning of the United States Bankruptcy Code; (y) it is an "eligible contract participant" as such term is defined in the Commodity Exchange Act, as amended 7 U.S.C. § 1 (a) (12); and (z) it is an "eligible contract entity" as such term is defined in the Commodity Exchange Act, as amended 7 U.S.C. § 1 (a) (11)."</w:t>
      </w:r>
    </w:p>
    <w:p>
      <w:pPr>
        <w:pStyle w:val="Normal"/>
        <w:tabs>
          <w:tab w:val="clear" w:pos="720"/>
          <w:tab w:val="left" w:pos="360" w:leader="none"/>
        </w:tabs>
        <w:spacing w:before="0" w:after="120"/>
        <w:jc w:val="both"/>
        <w:rPr/>
      </w:pPr>
      <w:r>
        <w:rPr>
          <w:sz w:val="20"/>
        </w:rPr>
        <w:t>(n)</w:t>
        <w:tab/>
      </w:r>
      <w:r>
        <w:rPr>
          <w:b/>
          <w:bCs/>
          <w:sz w:val="20"/>
        </w:rPr>
        <w:t>Notices</w:t>
      </w:r>
      <w:r>
        <w:rPr>
          <w:sz w:val="20"/>
        </w:rPr>
        <w:t>.   Section 10.7 is amended to add the phrase “or the exercise of an option” immediately after the phrase “(other than scheduling requests”.</w:t>
      </w:r>
    </w:p>
    <w:p>
      <w:pPr>
        <w:pStyle w:val="Normal"/>
        <w:numPr>
          <w:ilvl w:val="0"/>
          <w:numId w:val="13"/>
        </w:numPr>
        <w:tabs>
          <w:tab w:val="clear" w:pos="720"/>
          <w:tab w:val="left" w:pos="360" w:leader="none"/>
        </w:tabs>
        <w:spacing w:before="0" w:after="120"/>
        <w:ind w:hanging="360" w:start="360" w:end="0"/>
        <w:jc w:val="both"/>
        <w:rPr>
          <w:sz w:val="20"/>
        </w:rPr>
      </w:pPr>
      <w:r>
        <w:rPr>
          <w:b/>
          <w:bCs/>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Cs/>
          <w:sz w:val="20"/>
        </w:rPr>
        <w:t>“</w:t>
      </w: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6"/>
        </w:numPr>
        <w:spacing w:before="0" w:after="120"/>
        <w:jc w:val="both"/>
        <w:rPr>
          <w:sz w:val="20"/>
        </w:rPr>
      </w:pPr>
      <w:r>
        <w:rPr>
          <w:b/>
          <w:bCs/>
          <w:sz w:val="20"/>
        </w:rPr>
        <w:t>Market Disruption</w:t>
      </w:r>
      <w:r>
        <w:rPr>
          <w:sz w:val="20"/>
        </w:rPr>
        <w:t xml:space="preserve">.  If a Market Disruption Event occurs during the Determination Period, the Floating Price for the affected Trading Day(s) shall be determined pursuant to the Floating Price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a part or all of which is within the Delivery Period of a Transaction.</w:t>
      </w:r>
    </w:p>
    <w:p>
      <w:pPr>
        <w:pStyle w:val="Normal"/>
        <w:spacing w:before="0" w:after="120"/>
        <w:ind w:start="720" w:end="0"/>
        <w:jc w:val="both"/>
        <w:rPr/>
      </w:pPr>
      <w:r>
        <w:rPr>
          <w:sz w:val="20"/>
        </w:rPr>
        <w:t>“</w:t>
      </w:r>
      <w:r>
        <w:rPr>
          <w:sz w:val="20"/>
          <w:u w:val="single"/>
        </w:rPr>
        <w:t>Exchange</w:t>
      </w:r>
      <w:r>
        <w:rPr>
          <w:sz w:val="20"/>
        </w:rPr>
        <w:t>” means, in respect of a Transaction, the exchange or principal trading market specified in the relevant Transaction.</w:t>
      </w:r>
    </w:p>
    <w:p>
      <w:pPr>
        <w:pStyle w:val="Normal"/>
        <w:spacing w:before="0" w:after="120"/>
        <w:ind w:start="720" w:end="0"/>
        <w:jc w:val="both"/>
        <w:rPr/>
      </w:pPr>
      <w:r>
        <w:rPr>
          <w:sz w:val="20"/>
        </w:rPr>
        <w:t>"</w:t>
      </w:r>
      <w:r>
        <w:rPr>
          <w:sz w:val="20"/>
          <w:u w:val="single"/>
        </w:rPr>
        <w:t>Floating Price</w:t>
      </w:r>
      <w:r>
        <w:rPr>
          <w:sz w:val="20"/>
        </w:rPr>
        <w:t>" means the Contract Price specified in a Transaction that is based upon a Price Source.</w:t>
      </w:r>
    </w:p>
    <w:p>
      <w:pPr>
        <w:pStyle w:val="Normal"/>
        <w:spacing w:before="0" w:after="120"/>
        <w:ind w:start="720" w:end="0"/>
        <w:jc w:val="both"/>
        <w:rPr/>
      </w:pPr>
      <w:r>
        <w:rPr>
          <w:sz w:val="20"/>
        </w:rPr>
        <w:t>"</w:t>
      </w:r>
      <w:r>
        <w:rPr>
          <w:sz w:val="20"/>
          <w:u w:val="single"/>
        </w:rPr>
        <w:t>Market Disruption Event</w:t>
      </w:r>
      <w:r>
        <w:rPr>
          <w:sz w:val="20"/>
        </w:rPr>
        <w:t>" means, with respect to any Price Source, any of the following events (the existence of which shall be determined in good faith by Party A):  (a) the failure of the Price Source to announce or publish information necessary for determining the Floating Price; (b) the failure of trading to commence or the permanent discontinuation or material suspension of trading in the relevant options contract or commodity on the Exchange or in the market specified for determining a Floating Price; (c) the temporary or permanent discontinuance or unavailability of the Price Source; (d) the temporary or permanent closing of any Exchange specified for determining a Floating Price; or  (e) a material change in the formula for or the method of determining the Floating Price.</w:t>
      </w:r>
    </w:p>
    <w:p>
      <w:pPr>
        <w:pStyle w:val="Normal"/>
        <w:spacing w:before="0" w:after="120"/>
        <w:ind w:start="720" w:end="0"/>
        <w:jc w:val="both"/>
        <w:rPr>
          <w:bCs/>
          <w:sz w:val="20"/>
        </w:rPr>
      </w:pPr>
      <w:r>
        <w:rPr>
          <w:sz w:val="20"/>
        </w:rPr>
        <w:t>"</w:t>
      </w:r>
      <w:r>
        <w:rPr>
          <w:sz w:val="20"/>
          <w:u w:val="single"/>
        </w:rPr>
        <w:t>Price Source</w:t>
      </w:r>
      <w:r>
        <w:rPr>
          <w:sz w:val="20"/>
        </w:rPr>
        <w:t>" means, in respect of a Transaction, the publication (or such other origin of reference, including an Exchange) containing (or reporting) the specified price (or prices from which the specified price is calculated) specified in the relevant Transaction.</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Floating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shall be added at the end of Schedule P:</w:t>
      </w:r>
    </w:p>
    <w:p>
      <w:pPr>
        <w:pStyle w:val="Signature-dbl"/>
        <w:jc w:val="both"/>
        <w:rPr/>
      </w:pPr>
      <w:r>
        <w:rPr/>
        <w:t>"</w:t>
      </w:r>
      <w:r>
        <w:rPr>
          <w:sz w:val="20"/>
        </w:rPr>
        <w:t>If the Parties agree to a service level/product defined by reference to a different agreement (e.g., the ERCOT Agreement, the MAPP Restated Agreement) for a particular Transaction, then, unless the Parties expressly state and agree that all the terms and conditions of such other agreement will apply, such reference to a service level/product shall be as defined by such other agreement, including if applicable, the regional reliability requirements and guidelines as well as the specific excuses for performance, Force Majeure, Uncontrollable Forces, or other such excuses applicable to such other agreement, to the extent inconsistent with the terms of this Agreement, but all other terms and conditions of this Agreement remain applicable</w:t>
      </w:r>
      <w:r>
        <w:rPr>
          <w:sz w:val="22"/>
        </w:rPr>
        <w:t>.</w:t>
      </w:r>
      <w:r>
        <w:rPr>
          <w:sz w:val="20"/>
        </w:rPr>
        <w:t>"</w:t>
      </w:r>
    </w:p>
    <w:p>
      <w:pPr>
        <w:pStyle w:val="Signature-dbl"/>
        <w:jc w:val="both"/>
        <w:rPr>
          <w:sz w:val="20"/>
        </w:rPr>
      </w:pPr>
      <w:r>
        <w:rPr>
          <w:sz w:val="20"/>
        </w:rPr>
        <w:t>The following definitions are hereby added to Schedule P:</w:t>
      </w:r>
    </w:p>
    <w:p>
      <w:pPr>
        <w:pStyle w:val="BodyText2"/>
        <w:spacing w:lineRule="auto" w:line="240"/>
        <w:jc w:val="both"/>
        <w:rPr>
          <w:sz w:val="20"/>
          <w:szCs w:val="18"/>
        </w:rPr>
      </w:pPr>
      <w:r>
        <w:rPr>
          <w:sz w:val="20"/>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spacing w:lineRule="auto" w:line="240"/>
        <w:jc w:val="both"/>
        <w:rPr>
          <w:sz w:val="20"/>
          <w:szCs w:val="18"/>
        </w:rPr>
      </w:pPr>
      <w:r>
        <w:rPr>
          <w:sz w:val="20"/>
          <w:szCs w:val="18"/>
        </w:rPr>
      </w:r>
    </w:p>
    <w:p>
      <w:pPr>
        <w:pStyle w:val="BodyText2"/>
        <w:spacing w:lineRule="auto" w:line="240"/>
        <w:jc w:val="both"/>
        <w:rPr>
          <w:sz w:val="20"/>
        </w:rPr>
      </w:pPr>
      <w:r>
        <w:rPr>
          <w:sz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spacing w:lineRule="auto" w:line="240"/>
        <w:jc w:val="both"/>
        <w:rPr>
          <w:sz w:val="20"/>
        </w:rPr>
      </w:pPr>
      <w:r>
        <w:rPr>
          <w:sz w:val="20"/>
        </w:rPr>
      </w:r>
    </w:p>
    <w:p>
      <w:pPr>
        <w:pStyle w:val="BodyText2"/>
        <w:spacing w:lineRule="auto" w:line="240"/>
        <w:jc w:val="both"/>
        <w:rPr>
          <w:sz w:val="20"/>
        </w:rPr>
      </w:pPr>
      <w:r>
        <w:rPr>
          <w:sz w:val="20"/>
        </w:rPr>
        <w:t>"WSCC" means the Western Systems Coordinating Council.</w:t>
      </w:r>
    </w:p>
    <w:p>
      <w:pPr>
        <w:pStyle w:val="BodyText2"/>
        <w:spacing w:lineRule="auto" w:line="240"/>
        <w:jc w:val="both"/>
        <w:rPr>
          <w:sz w:val="20"/>
        </w:rPr>
      </w:pPr>
      <w:r>
        <w:rPr>
          <w:sz w:val="20"/>
        </w:rPr>
      </w:r>
    </w:p>
    <w:p>
      <w:pPr>
        <w:pStyle w:val="coverbody"/>
        <w:spacing w:before="0" w:after="120"/>
        <w:rPr>
          <w:szCs w:val="24"/>
        </w:rPr>
      </w:pPr>
      <w:r>
        <w:rPr>
          <w:szCs w:val="24"/>
        </w:rPr>
        <w:t>"WSPP Agreement" means the Western Systems Power Pool Agreement as amended from time to time.</w:t>
      </w:r>
    </w:p>
    <w:p>
      <w:pPr>
        <w:pStyle w:val="Normal"/>
        <w:rPr>
          <w:b/>
          <w:bCs/>
          <w:sz w:val="20"/>
        </w:rPr>
      </w:pPr>
      <w:r>
        <w:rPr>
          <w:b/>
          <w:bCs/>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r>
        <w:br w:type="page"/>
      </w:r>
    </w:p>
    <w:p>
      <w:pPr>
        <w:pStyle w:val="EnvelopeReturn"/>
        <w:rPr>
          <w:b/>
          <w:bCs/>
          <w:sz w:val="20"/>
        </w:rPr>
      </w:pPr>
      <w:r>
        <w:rPr>
          <w:b/>
          <w:bCs/>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p>
    <w:p>
      <w:pPr>
        <w:sectPr>
          <w:footerReference w:type="default" r:id="rId10"/>
          <w:footerReference w:type="first" r:id="rId11"/>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12"/>
          <w:footerReference w:type="first" r:id="rId13"/>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between Enron Power Marketing, Inc.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[Party B]</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14"/>
          <w:footerReference w:type="first" r:id="rId15"/>
          <w:footnotePr>
            <w:numFmt w:val="decimal"/>
          </w:footnotePr>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spacing w:before="0" w:after="280"/>
        <w:rPr>
          <w:bCs/>
        </w:rPr>
      </w:pPr>
      <w:r>
        <w:rPr>
          <w:bCs/>
        </w:rPr>
      </w:r>
    </w:p>
    <w:sectPr>
      <w:headerReference w:type="default" r:id="rId16"/>
      <w:footerReference w:type="default" r:id="rId17"/>
      <w:footerReference w:type="first" r:id="rId18"/>
      <w:footnotePr>
        <w:numFmt w:val="decimal"/>
      </w:footnotePr>
      <w:type w:val="nextPage"/>
      <w:pgSz w:w="12240" w:h="15840"/>
      <w:pgMar w:left="1440" w:right="1440" w:gutter="0" w:header="72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M-</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5"/>
      <w:numFmt w:val="lowerLetter"/>
      <w:lvlText w:val="(%1)"/>
      <w:lvlJc w:val="start"/>
      <w:pPr>
        <w:tabs>
          <w:tab w:val="num" w:pos="720"/>
        </w:tabs>
        <w:ind w:start="720" w:hanging="360"/>
      </w:pPr>
      <w:rPr/>
    </w:lvl>
  </w:abstractNum>
  <w:abstractNum w:abstractNumId="14">
    <w:lvl w:ilvl="0">
      <w:start w:val="10"/>
      <w:numFmt w:val="lowerLetter"/>
      <w:lvlText w:val="(%1)"/>
      <w:lvlJc w:val="start"/>
      <w:pPr>
        <w:tabs>
          <w:tab w:val="num" w:pos="720"/>
        </w:tabs>
        <w:ind w:start="720" w:hanging="360"/>
      </w:pPr>
      <w:rPr/>
    </w:lvl>
  </w:abstractNum>
  <w:abstractNum w:abstractNumId="15">
    <w:lvl w:ilvl="0">
      <w:start w:val="1"/>
      <w:numFmt w:val="decimal"/>
      <w:lvlText w:val="(%1)"/>
      <w:lvlJc w:val="start"/>
      <w:pPr>
        <w:tabs>
          <w:tab w:val="num" w:pos="720"/>
        </w:tabs>
        <w:ind w:start="720" w:hanging="36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7"/>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sz w:val="22"/>
    </w:rPr>
  </w:style>
  <w:style w:type="character" w:styleId="WW8Num17z0">
    <w:name w:val="WW8Num17z0"/>
    <w:qFormat/>
    <w:rPr/>
  </w:style>
  <w:style w:type="character" w:styleId="WW8Num18z0">
    <w:name w:val="WW8Num18z0"/>
    <w:qFormat/>
    <w:rPr>
      <w:b/>
      <w:sz w:val="22"/>
    </w:rPr>
  </w:style>
  <w:style w:type="character" w:styleId="WW8Num19z0">
    <w:name w:val="WW8Num19z0"/>
    <w:qFormat/>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5z1">
    <w:name w:val="WW8Num25z1"/>
    <w:qFormat/>
    <w:rPr>
      <w:rFonts w:ascii="Times New Roman" w:hAnsi="Times New Roman" w:cs="Times New Roman"/>
      <w:b w:val="false"/>
      <w:i w:val="false"/>
      <w:sz w:val="24"/>
      <w:u w:val="none"/>
    </w:rPr>
  </w:style>
  <w:style w:type="character" w:styleId="WW8Num25z2">
    <w:name w:val="WW8Num25z2"/>
    <w:qFormat/>
    <w:rPr>
      <w:rFonts w:ascii="Times New Roman" w:hAnsi="Times New Roman" w:cs="Times New Roman"/>
      <w:b w:val="false"/>
      <w:i w:val="false"/>
      <w:sz w:val="24"/>
    </w:rPr>
  </w:style>
  <w:style w:type="character" w:styleId="WW8Num25z5">
    <w:name w:val="WW8Num25z5"/>
    <w:qFormat/>
    <w:rPr>
      <w:rFonts w:ascii="Times New Roman" w:hAnsi="Times New Roman" w:cs="Times New Roman"/>
      <w:b/>
      <w:i w:val="false"/>
      <w:sz w:val="24"/>
      <w:u w:val="none"/>
    </w:rPr>
  </w:style>
  <w:style w:type="character" w:styleId="WW8Num26z0">
    <w:name w:val="WW8Num26z0"/>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5z1">
    <w:name w:val="WW8Num35z1"/>
    <w:qFormat/>
    <w:rPr>
      <w:rFonts w:ascii="Times New Roman" w:hAnsi="Times New Roman" w:cs="Times New Roman"/>
      <w:b w:val="false"/>
      <w:i w:val="false"/>
      <w:sz w:val="24"/>
      <w:u w:val="none"/>
    </w:rPr>
  </w:style>
  <w:style w:type="character" w:styleId="WW8Num35z2">
    <w:name w:val="WW8Num35z2"/>
    <w:qFormat/>
    <w:rPr>
      <w:rFonts w:ascii="Times New Roman" w:hAnsi="Times New Roman" w:cs="Times New Roman"/>
      <w:b w:val="false"/>
      <w:i w:val="false"/>
      <w:sz w:val="24"/>
    </w:rPr>
  </w:style>
  <w:style w:type="character" w:styleId="WW8Num35z5">
    <w:name w:val="WW8Num35z5"/>
    <w:qFormat/>
    <w:rPr>
      <w:rFonts w:ascii="Times New Roman" w:hAnsi="Times New Roman" w:cs="Times New Roman"/>
      <w:b/>
      <w:i w:val="false"/>
      <w:sz w:val="24"/>
      <w:u w:val="none"/>
    </w:rPr>
  </w:style>
  <w:style w:type="character" w:styleId="WW8Num36z0">
    <w:name w:val="WW8Num36z0"/>
    <w:qFormat/>
    <w:rPr/>
  </w:style>
  <w:style w:type="character" w:styleId="WW8Num37z0">
    <w:name w:val="WW8Num37z0"/>
    <w:qFormat/>
    <w:rPr>
      <w:rFonts w:ascii="Times New Roman" w:hAnsi="Times New Roman" w:cs="Times New Roman"/>
      <w:b/>
      <w:i w:val="false"/>
      <w:caps/>
      <w:sz w:val="24"/>
    </w:rPr>
  </w:style>
  <w:style w:type="character" w:styleId="WW8Num37z1">
    <w:name w:val="WW8Num37z1"/>
    <w:qFormat/>
    <w:rPr>
      <w:rFonts w:ascii="Times New Roman" w:hAnsi="Times New Roman" w:cs="Times New Roman"/>
      <w:b w:val="false"/>
      <w:i w:val="false"/>
      <w:sz w:val="24"/>
      <w:u w:val="none"/>
    </w:rPr>
  </w:style>
  <w:style w:type="character" w:styleId="WW8Num37z2">
    <w:name w:val="WW8Num37z2"/>
    <w:qFormat/>
    <w:rPr>
      <w:rFonts w:ascii="Times New Roman" w:hAnsi="Times New Roman" w:cs="Times New Roman"/>
      <w:b w:val="false"/>
      <w:i w:val="false"/>
      <w:sz w:val="24"/>
    </w:rPr>
  </w:style>
  <w:style w:type="character" w:styleId="WW8Num37z5">
    <w:name w:val="WW8Num37z5"/>
    <w:qFormat/>
    <w:rPr>
      <w:rFonts w:ascii="Times New Roman" w:hAnsi="Times New Roman" w:cs="Times New Roman"/>
      <w:b/>
      <w:i w:val="false"/>
      <w:sz w:val="24"/>
      <w:u w:val="none"/>
    </w:rPr>
  </w:style>
  <w:style w:type="character" w:styleId="WW8Num38z0">
    <w:name w:val="WW8Num38z0"/>
    <w:qFormat/>
    <w:rPr/>
  </w:style>
  <w:style w:type="character" w:styleId="WW8Num39z0">
    <w:name w:val="WW8Num39z0"/>
    <w:qFormat/>
    <w:rPr>
      <w:b w:val="fals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hanging="0" w:start="252" w:end="0"/>
      <w:jc w:val="both"/>
    </w:pPr>
    <w:rPr>
      <w:b/>
      <w:bCs/>
      <w:sz w:val="20"/>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spacing w:before="0" w:after="120"/>
      <w:ind w:hanging="72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header" Target="header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2002-01-10T17:20:00Z</dcterms:created>
  <dc:creator>WordProcessing</dc:creator>
  <dc:description/>
  <dc:language>en-CA</dc:language>
  <cp:lastModifiedBy>leslie hansen</cp:lastModifiedBy>
  <cp:lastPrinted>2002-01-10T13:50:00Z</cp:lastPrinted>
  <dcterms:modified xsi:type="dcterms:W3CDTF">2002-01-10T17:21:00Z</dcterms:modified>
  <cp:revision>3</cp:revision>
  <dc:subject/>
  <dc:title>  </dc:title>
</cp:coreProperties>
</file>