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Web"/>
        <w:spacing w:before="0" w:after="280"/>
        <w:jc w:val="end"/>
        <w:rPr>
          <w:sz w:val="20"/>
          <w:szCs w:val="20"/>
        </w:rPr>
      </w:pPr>
      <w:r>
        <w:rPr>
          <w:sz w:val="20"/>
          <w:szCs w:val="20"/>
        </w:rPr>
        <w:t>Version 1 – January 10, 2002</w:t>
      </w:r>
    </w:p>
    <w:p>
      <w:pPr>
        <w:pStyle w:val="NormalWeb"/>
        <w:jc w:val="center"/>
        <w:rPr>
          <w:rFonts w:ascii="Arial" w:hAnsi="Arial" w:cs="Arial"/>
          <w:b/>
          <w:bCs/>
          <w:sz w:val="20"/>
          <w:szCs w:val="20"/>
        </w:rPr>
      </w:pPr>
      <w:r>
        <w:rPr>
          <w:rFonts w:cs="Arial" w:ascii="Arial" w:hAnsi="Arial"/>
          <w:b/>
          <w:bCs/>
          <w:sz w:val="20"/>
          <w:szCs w:val="20"/>
        </w:rPr>
        <w:t>NETCO ("Netco")</w:t>
      </w:r>
    </w:p>
    <w:p>
      <w:pPr>
        <w:pStyle w:val="NormalWeb"/>
        <w:jc w:val="center"/>
        <w:rPr>
          <w:rFonts w:ascii="Arial" w:hAnsi="Arial" w:cs="Arial"/>
          <w:b/>
          <w:bCs/>
          <w:sz w:val="20"/>
          <w:szCs w:val="20"/>
        </w:rPr>
      </w:pPr>
      <w:r>
        <w:rPr>
          <w:rFonts w:cs="Arial" w:ascii="Arial" w:hAnsi="Arial"/>
          <w:b/>
          <w:bCs/>
          <w:sz w:val="20"/>
          <w:szCs w:val="20"/>
        </w:rPr>
        <w:t>GENERAL TERMS AND CONDITIONS ("GTC")</w:t>
      </w:r>
    </w:p>
    <w:p>
      <w:pPr>
        <w:pStyle w:val="NormalWeb"/>
        <w:jc w:val="center"/>
        <w:rPr>
          <w:rFonts w:ascii="Arial" w:hAnsi="Arial" w:cs="Arial"/>
          <w:b/>
          <w:bCs/>
          <w:sz w:val="20"/>
          <w:szCs w:val="20"/>
        </w:rPr>
      </w:pPr>
      <w:r>
        <w:rPr>
          <w:rFonts w:cs="Arial" w:ascii="Arial" w:hAnsi="Arial"/>
          <w:b/>
          <w:bCs/>
          <w:sz w:val="20"/>
          <w:szCs w:val="20"/>
        </w:rPr>
        <w:t>FINANCIAL</w:t>
      </w:r>
    </w:p>
    <w:p>
      <w:pPr>
        <w:pStyle w:val="NormalWeb"/>
        <w:rPr>
          <w:rFonts w:ascii="Arial" w:hAnsi="Arial" w:cs="Arial"/>
          <w:sz w:val="20"/>
          <w:szCs w:val="20"/>
        </w:rPr>
      </w:pPr>
      <w:r>
        <w:rPr>
          <w:rFonts w:cs="Arial" w:ascii="Arial" w:hAnsi="Arial"/>
          <w:sz w:val="20"/>
          <w:szCs w:val="20"/>
        </w:rPr>
        <w:t>Until a relevant master agreement is executed between you ("Counterparty") and Netco ("Netco"), this GTC will set forth the general terms and conditions governing all Derivative Transactions between us except as otherwise specified in a Derivative Transaction. All such Transactions shall constitute a single, integrated agreement between the parties, it being acknowledged that the parties are relying on the fact that all such Transactions will form a single agreement and that the parties would not otherwise enter into any Transactions.</w:t>
      </w:r>
    </w:p>
    <w:p>
      <w:pPr>
        <w:pStyle w:val="NormalWeb"/>
        <w:rPr>
          <w:rFonts w:ascii="Arial" w:hAnsi="Arial" w:cs="Arial"/>
          <w:sz w:val="20"/>
          <w:szCs w:val="20"/>
        </w:rPr>
      </w:pPr>
      <w:r>
        <w:rPr>
          <w:rFonts w:cs="Arial" w:ascii="Arial" w:hAnsi="Arial"/>
          <w:sz w:val="20"/>
          <w:szCs w:val="20"/>
        </w:rPr>
        <w:t xml:space="preserve">1. </w:t>
      </w:r>
      <w:r>
        <w:rPr>
          <w:rFonts w:cs="Arial" w:ascii="Arial" w:hAnsi="Arial"/>
          <w:b/>
          <w:bCs/>
          <w:sz w:val="20"/>
          <w:szCs w:val="20"/>
          <w:u w:val="single"/>
        </w:rPr>
        <w:t>Representations</w:t>
      </w:r>
      <w:r>
        <w:rPr>
          <w:rFonts w:cs="Arial" w:ascii="Arial" w:hAnsi="Arial"/>
          <w:sz w:val="20"/>
          <w:szCs w:val="20"/>
        </w:rPr>
        <w:t xml:space="preserve">. Each of Netco and Counterparty represents and warrants to the other that (a) </w:t>
      </w:r>
      <w:r>
        <w:rPr>
          <w:rFonts w:cs="Arial" w:ascii="Arial" w:hAnsi="Arial"/>
          <w:sz w:val="20"/>
          <w:szCs w:val="20"/>
          <w:u w:val="single"/>
        </w:rPr>
        <w:t>Authority/Taxation</w:t>
      </w:r>
      <w:r>
        <w:rPr>
          <w:rFonts w:cs="Arial" w:ascii="Arial" w:hAnsi="Arial"/>
          <w:sz w:val="20"/>
          <w:szCs w:val="20"/>
        </w:rPr>
        <w:t xml:space="preserve"> (i) the execution, delivery and performance of this Transaction have been duly authorized by all necessary corporate or other organization action on its part, (ii) this Transaction is its legally valid and binding obligation, enforceable against it in accordance with its terms, and (iii) unless it has notified the other party in writing to the contrary, it is a United States person (as such term is defined in Section 7701 of the United States Internal Revenue Code); and (b) </w:t>
      </w:r>
      <w:r>
        <w:rPr>
          <w:rFonts w:cs="Arial" w:ascii="Arial" w:hAnsi="Arial"/>
          <w:sz w:val="20"/>
          <w:u w:val="single"/>
        </w:rPr>
        <w:t>Eligible Contract Participant</w:t>
      </w:r>
      <w:r>
        <w:rPr>
          <w:rFonts w:cs="Arial" w:ascii="Arial" w:hAnsi="Arial"/>
          <w:sz w:val="20"/>
        </w:rPr>
        <w:t xml:space="preserve">  (i) </w:t>
      </w:r>
      <w:r>
        <w:rPr>
          <w:rFonts w:cs="Arial" w:ascii="Arial" w:hAnsi="Arial"/>
          <w:sz w:val="20"/>
          <w:szCs w:val="18"/>
        </w:rPr>
        <w:t xml:space="preserve">it constitutes </w:t>
      </w:r>
      <w:r>
        <w:rPr>
          <w:rFonts w:cs="Arial" w:ascii="Arial" w:hAnsi="Arial"/>
          <w:sz w:val="20"/>
          <w:szCs w:val="22"/>
        </w:rPr>
        <w:t>an “eligible contract participant” as such term is defined in the Commodity Exchange Act, as amended 7 U.S.C. §1a(12) and (ii) it constitutes an “eligible commercial entity” as such term is defined in the Commodity Exchange Act, as amended 7 U.S.C. §1a(11)</w:t>
      </w:r>
      <w:r>
        <w:rPr>
          <w:rFonts w:cs="Arial" w:ascii="Arial" w:hAnsi="Arial"/>
          <w:sz w:val="20"/>
          <w:szCs w:val="18"/>
        </w:rPr>
        <w:t>;</w:t>
      </w:r>
      <w:r>
        <w:rPr>
          <w:rFonts w:cs="Arial" w:ascii="Arial" w:hAnsi="Arial"/>
          <w:sz w:val="20"/>
        </w:rPr>
        <w:t xml:space="preserve"> and</w:t>
      </w:r>
      <w:r>
        <w:rPr>
          <w:rFonts w:cs="Arial" w:ascii="Arial" w:hAnsi="Arial"/>
          <w:sz w:val="20"/>
          <w:szCs w:val="20"/>
        </w:rPr>
        <w:t xml:space="preserve"> (c) </w:t>
      </w:r>
      <w:r>
        <w:rPr>
          <w:rFonts w:cs="Arial" w:ascii="Arial" w:hAnsi="Arial"/>
          <w:sz w:val="20"/>
          <w:szCs w:val="20"/>
          <w:u w:val="single"/>
        </w:rPr>
        <w:t>No Reliance</w:t>
      </w:r>
      <w:r>
        <w:rPr>
          <w:rFonts w:cs="Arial" w:ascii="Arial" w:hAnsi="Arial"/>
          <w:sz w:val="20"/>
          <w:szCs w:val="20"/>
        </w:rPr>
        <w:t xml:space="preserve"> (i) the other party to this Transaction (1) is not acting as a fiduciary or financial, investment or commodity trading advisor for it, and (2) has not given to it (directly or indirectly through any other person) any assurance, guaranty or representation whatsoever as to the merits (either legal, regulatory, tax, financial, accounting or otherwise) of this Transaction or the expected performance or result of this Transaction; and (ii) in connection with the negotiation and execution of this Transaction, (1) it is acting as a principal (and not as an agent or in any other capacity, fiduciary or otherwise), (2) it is not relying upon any advice, counsel or representations (whether written or oral) of the other party other than the representations expressly set forth in this Transaction, (3) it has made and will make its own decisions regarding the entering into of this Transaction based upon its own judgment and upon the advice from such professional advisors as it deemed, or will deem, necessary to consult, (4) all of its decisions regarding this Transaction have been the result of arm’s length negotiations between the parties, and (5) it has a full understanding of all the terms, conditions and risks (economic and otherwise) of this Transaction, and it is capable of assuming and willing to assume (financially and otherwise) those risks</w:t>
      </w:r>
      <w:r>
        <w:rPr>
          <w:rFonts w:cs="Arial" w:ascii="Arial" w:hAnsi="Arial"/>
          <w:sz w:val="20"/>
        </w:rPr>
        <w:t xml:space="preserve">; and (d) </w:t>
      </w:r>
      <w:r>
        <w:rPr>
          <w:rFonts w:cs="Arial" w:ascii="Arial" w:hAnsi="Arial"/>
          <w:sz w:val="20"/>
          <w:u w:val="single"/>
        </w:rPr>
        <w:t>Absence of Litigation</w:t>
      </w:r>
      <w:r>
        <w:rPr>
          <w:rFonts w:cs="Arial" w:ascii="Arial" w:hAnsi="Arial"/>
          <w:sz w:val="20"/>
        </w:rPr>
        <w:t xml:space="preserve"> there is not pending or, to its knowledge, threatened against it or any of its Affiliates any action, suit or proceeding at law or in equity or before any court, tribunal, governmental body, agency or official or any arbitrator that is likely to affect the legality, validity or enforceability against it of this Transaction to which it or its Affiliates is a party or its or its Affiliates ability to perform their respective obligations under this Transaction.</w:t>
      </w:r>
    </w:p>
    <w:p>
      <w:pPr>
        <w:pStyle w:val="NormalWeb"/>
        <w:rPr/>
      </w:pPr>
      <w:r>
        <w:rPr>
          <w:rFonts w:cs="Arial" w:ascii="Arial" w:hAnsi="Arial"/>
          <w:sz w:val="20"/>
          <w:szCs w:val="20"/>
        </w:rPr>
        <w:t xml:space="preserve">2. </w:t>
      </w:r>
      <w:r>
        <w:rPr>
          <w:rFonts w:cs="Arial" w:ascii="Arial" w:hAnsi="Arial"/>
          <w:b/>
          <w:bCs/>
          <w:sz w:val="20"/>
          <w:szCs w:val="20"/>
          <w:u w:val="single"/>
        </w:rPr>
        <w:t>Payments</w:t>
      </w:r>
      <w:r>
        <w:rPr>
          <w:rFonts w:cs="Arial" w:ascii="Arial" w:hAnsi="Arial"/>
          <w:sz w:val="20"/>
          <w:szCs w:val="20"/>
        </w:rPr>
        <w:t xml:space="preserve">. For each Determination Period, on the applicable Payment Date with respect to (a) a </w:t>
      </w:r>
      <w:r>
        <w:rPr>
          <w:rFonts w:cs="Arial" w:ascii="Arial" w:hAnsi="Arial"/>
          <w:sz w:val="20"/>
          <w:szCs w:val="20"/>
          <w:u w:val="single"/>
        </w:rPr>
        <w:t>SWAP</w:t>
      </w:r>
      <w:r>
        <w:rPr>
          <w:rFonts w:cs="Arial" w:ascii="Arial" w:hAnsi="Arial"/>
          <w:sz w:val="20"/>
          <w:szCs w:val="20"/>
        </w:rPr>
        <w:t xml:space="preserve">, (i) if the Floating Amount is greater than the Fixed Amount for the relevant Determination Period, the Floating Price Payor shall pay the Fixed Price Payor the amount by which the Floating Amount exceeds the Fixed Amount, and (ii) if the Floating Amount is less than the Fixed Amount, the Fixed Price Payor shall pay the Floating Price Payor the amount by which the Fixed Amount exceeds the Floating Amount; (b) an </w:t>
      </w:r>
      <w:r>
        <w:rPr>
          <w:rFonts w:cs="Arial" w:ascii="Arial" w:hAnsi="Arial"/>
          <w:sz w:val="20"/>
          <w:szCs w:val="20"/>
          <w:u w:val="single"/>
        </w:rPr>
        <w:t>OPTION</w:t>
      </w:r>
      <w:r>
        <w:rPr>
          <w:rFonts w:cs="Arial" w:ascii="Arial" w:hAnsi="Arial"/>
          <w:sz w:val="20"/>
          <w:szCs w:val="20"/>
        </w:rPr>
        <w:t xml:space="preserve"> (other than a Swaption) that has been properly exercised by the Buyer, the Seller shall pay the Buyer the Cash Settlement Amount (if any) for the relevant Determination Period (Buyer may exercise the rights granted pursuant to the Option only by giving a Notice of Exercise on a Business Day during the Exercise Period (unless Automatic Exercise is specified to apply in the Transaction); otherwise the Option shall expire); (c) a </w:t>
      </w:r>
      <w:r>
        <w:rPr>
          <w:rFonts w:cs="Arial" w:ascii="Arial" w:hAnsi="Arial"/>
          <w:sz w:val="20"/>
          <w:szCs w:val="20"/>
          <w:u w:val="single"/>
        </w:rPr>
        <w:t>Collar</w:t>
      </w:r>
      <w:r>
        <w:rPr>
          <w:rFonts w:cs="Arial" w:ascii="Arial" w:hAnsi="Arial"/>
          <w:sz w:val="20"/>
          <w:szCs w:val="20"/>
        </w:rPr>
        <w:t xml:space="preserve">, (i) if the Floating Amount is greater than the Cap Amount, the Floating Price Payor will pay to the Fixed Price Payor the amount by which the Floating Amount exceeds the Cap Amount, and (ii) if the Floating Amount is less than the Floor Amount, the Fixed Price Payor shall pay to the Floating Price Payor the amount by which the Floating Amount is less than the Floor Amount; (d) a </w:t>
      </w:r>
      <w:r>
        <w:rPr>
          <w:rFonts w:cs="Arial" w:ascii="Arial" w:hAnsi="Arial"/>
          <w:sz w:val="20"/>
          <w:szCs w:val="20"/>
          <w:u w:val="single"/>
        </w:rPr>
        <w:t>Swaption</w:t>
      </w:r>
      <w:r>
        <w:rPr>
          <w:rFonts w:cs="Arial" w:ascii="Arial" w:hAnsi="Arial"/>
          <w:sz w:val="20"/>
          <w:szCs w:val="20"/>
        </w:rPr>
        <w:t xml:space="preserve"> that has been properly exercised by the Buyer, all payments payable under the Underlying Transaction shall be made by the relevant party in the manner specified for a Swap in this Section (Buyer shall exercise Swaption in accordance with the Option procedures); and (e) the </w:t>
      </w:r>
      <w:r>
        <w:rPr>
          <w:rFonts w:cs="Arial" w:ascii="Arial" w:hAnsi="Arial"/>
          <w:sz w:val="20"/>
          <w:szCs w:val="20"/>
          <w:u w:val="single"/>
        </w:rPr>
        <w:t>TOTAL Premium</w:t>
      </w:r>
      <w:r>
        <w:rPr>
          <w:rFonts w:cs="Arial" w:ascii="Arial" w:hAnsi="Arial"/>
          <w:sz w:val="20"/>
          <w:szCs w:val="20"/>
        </w:rPr>
        <w:t xml:space="preserve"> (if any) for an Option, Collar or Swaption, the Total Premium is due and payable by the Buyer or Premium Payor (as the case may be) to the other party on the Premium Payment Date(s).</w:t>
      </w:r>
    </w:p>
    <w:p>
      <w:pPr>
        <w:pStyle w:val="NormalWeb"/>
        <w:rPr>
          <w:rFonts w:ascii="Arial" w:hAnsi="Arial" w:cs="Arial"/>
          <w:sz w:val="20"/>
          <w:szCs w:val="20"/>
        </w:rPr>
      </w:pPr>
      <w:r>
        <w:rPr>
          <w:rFonts w:cs="Arial" w:ascii="Arial" w:hAnsi="Arial"/>
          <w:sz w:val="20"/>
          <w:szCs w:val="20"/>
        </w:rPr>
        <w:t xml:space="preserve">For the purposes of the calculations of the relevant price(s), all numbers shall be rounded as follows: price(s) relating to commodities quoted in (i) gallons, shall be rounded to five places, (ii) Mmbtu’s shall be rounded to four places, and (iii) barrels and megawatt hours shall be rounded to three places.  </w:t>
      </w:r>
      <w:r>
        <w:rPr>
          <w:rFonts w:cs="Arial" w:ascii="Arial" w:hAnsi="Arial"/>
          <w:sz w:val="20"/>
        </w:rPr>
        <w:t>For purposes of determining the relevant prices for any day, if the price published or announced on a given day and used or to be used to determine a relevant price is subsequently corrected and the correction is published or announced by the person responsible for that publication or announcement, either Party may notify the other Party of (i) that correction and (ii) the amount (if any) that is payable as a result of that correction.  If a Party gives notice that an amount is so payable, the Party that originally either received or retained such amount will, not later than three (3) Business Days after the effectiveness of that notice, pay, subject to any applicable conditions precedent, to the other Party that amount, together with interest at the Interest Rate for the period from and including the day on which payment originally was (or was not) made to but excluding the day of payment of the refund or payment resulting from that correction.</w:t>
      </w:r>
    </w:p>
    <w:p>
      <w:pPr>
        <w:pStyle w:val="NormalWeb"/>
        <w:rPr>
          <w:rFonts w:ascii="Arial" w:hAnsi="Arial" w:cs="Arial"/>
          <w:sz w:val="20"/>
          <w:szCs w:val="20"/>
        </w:rPr>
      </w:pPr>
      <w:r>
        <w:rPr>
          <w:rFonts w:cs="Arial" w:ascii="Arial" w:hAnsi="Arial"/>
          <w:sz w:val="20"/>
          <w:szCs w:val="20"/>
        </w:rPr>
        <w:t>Each payment will be made in the Contractual Currency (specified in the Transaction or if not specified, in U.S. Dollars) via wire transfer in immediately available funds on the relevant Payment Date (or if not a Business Day, on the next Business Day). If amounts are not paid when due, they shall bear interest daily until paid in full at the Interest Rate on the basis of the actual number of days elapsed, and on the basis of a year of 365/366 days. If the Payment Dates for two or more Derivative Transactions between the parties fall on the same day in the same currency, if each party is required to make a payment to the other on such Payment Date, such amounts with respect to each party shall be aggregated, and the party owing the greater aggregate amount shall pay to the other party the difference between the amounts owed.</w:t>
      </w:r>
    </w:p>
    <w:p>
      <w:pPr>
        <w:pStyle w:val="NormalWeb"/>
        <w:rPr>
          <w:rFonts w:ascii="Arial" w:hAnsi="Arial" w:cs="Arial"/>
          <w:sz w:val="20"/>
          <w:szCs w:val="20"/>
        </w:rPr>
      </w:pPr>
      <w:r>
        <w:rPr>
          <w:rFonts w:cs="Arial" w:ascii="Arial" w:hAnsi="Arial"/>
          <w:sz w:val="20"/>
          <w:szCs w:val="20"/>
        </w:rPr>
        <w:t>All payments under this Transaction shall be made without any deduction or withholding for or on account of any Tax unless such deduction or withholding is required by any applicable law, as modified by the practice of any relevant governmental revenue authority, then in effect. If a party is so required to deduct or withhold, then that party ("X") shall (a) promptly notify the other party ("Y") of such requirement, (b) pay to the relevant authorities the full amount required to be deducted or withheld (including the full amount required to be deducted or withheld from any additional amount paid by X or Y under this paragraph) promptly upon the earlier of determining that such deduction or withholding is required or receiving notice that such amount has been assessed against Y, (c) promptly forward to Y an official receipt (or a certified copy), or other documentation reasonably acceptable to Y, evidencing such payment to such authorities, and (d) if such Tax is an Indemnifiable Tax, pay to Y, in addition to the payment to which Y is otherwise entitled under this Transaction, such additional amount as is necessary to ensure that the net amount actually received by Y (free and clear of Indemnifiable Taxes, whether assessed against X or Y) will equal the full amount Y would have received had no such deduction or withholding been required. However, X will not be required to pay any additional amount to Y to the extent that it would not be required to be paid but for (i) the failure or breach by Y of a representation or warranty set forth in Section 1 of these General Terms and Conditions or (ii) the failure of Y, upon reasonable demand by X, to provide any form, certificate or document that would allow X to make a payment to Y under this Transaction at a reduced rate of, or without any, withholding for or on account of any Tax.</w:t>
      </w:r>
    </w:p>
    <w:p>
      <w:pPr>
        <w:pStyle w:val="NormalWeb"/>
        <w:rPr/>
      </w:pPr>
      <w:r>
        <w:rPr>
          <w:rFonts w:cs="Arial" w:ascii="Arial" w:hAnsi="Arial"/>
          <w:sz w:val="20"/>
          <w:szCs w:val="20"/>
        </w:rPr>
        <w:t xml:space="preserve">3. </w:t>
      </w:r>
      <w:r>
        <w:rPr>
          <w:rFonts w:cs="Arial" w:ascii="Arial" w:hAnsi="Arial"/>
          <w:b/>
          <w:bCs/>
          <w:sz w:val="20"/>
          <w:szCs w:val="20"/>
          <w:u w:val="single"/>
        </w:rPr>
        <w:t>Events of Default</w:t>
      </w:r>
      <w:r>
        <w:rPr>
          <w:rFonts w:cs="Arial" w:ascii="Arial" w:hAnsi="Arial"/>
          <w:sz w:val="20"/>
          <w:szCs w:val="20"/>
        </w:rPr>
        <w:t>. An event of default ("Event of Default") shall mean with respect to a party (the "Defaulting Party") any of the following: (a) the failure by the Defaulting Party to make, when due, any payment required under this Transaction if such failure is not remedied within three Business Days after notice of such failure is given to the Defaulting Party; (b) any representation or warranty made by the Defaulting Party in this Transaction shall prove to have been false or misleading in any material respect; (c) the breach by the Defaulting Party of any other covenant or agreement set forth in this Transaction (other than the obligation to make payment) and such failure is not cured within 10 Business Days after it is given notice thereof; (d) the institution, with respect to the Defaulting Party, of a bankruptcy, reorganization, moratorium, liquidation or similar insolvency proceeding or other relief under any bankruptcy or insolvency law affecting creditors' rights or a petition is presented or instituted for its winding-up or liquidation (and, if such a proceeding is instituted against the party, it remains undismissed for 30 days); (e) the Defaulting Party consolidates or amalgamates with, or merges into or with, or transfers substantially all of its assets to another entity and (y) the resulting entity fails to assume all of the obligations of the Defaulting Party under this Transaction or (z) the resulting entity’s creditworthiness is materially weaker than that of the Defaulting Party; or (f) an event of default occurs (howsoever determined) under any other Derivative Transaction between the parties.</w:t>
      </w:r>
    </w:p>
    <w:p>
      <w:pPr>
        <w:pStyle w:val="NormalWeb"/>
        <w:rPr/>
      </w:pPr>
      <w:r>
        <w:rPr>
          <w:rFonts w:cs="Arial" w:ascii="Arial" w:hAnsi="Arial"/>
          <w:sz w:val="20"/>
          <w:szCs w:val="20"/>
        </w:rPr>
        <w:t xml:space="preserve">4. </w:t>
      </w:r>
      <w:r>
        <w:rPr>
          <w:rFonts w:cs="Arial" w:ascii="Arial" w:hAnsi="Arial"/>
          <w:b/>
          <w:bCs/>
          <w:sz w:val="20"/>
          <w:szCs w:val="20"/>
          <w:u w:val="single"/>
        </w:rPr>
        <w:t>Remedies</w:t>
      </w:r>
      <w:r>
        <w:rPr>
          <w:rFonts w:cs="Arial" w:ascii="Arial" w:hAnsi="Arial"/>
          <w:sz w:val="20"/>
          <w:szCs w:val="20"/>
        </w:rPr>
        <w:t>. If an Event of Default shall have occurred and shall be continuing the non-defaulting party may, in its sole discretion, by no more than 20 days notice to the Defaulting Party designate a day no earlier than the day such notice is effective as an early termination date ("Early Termination Date"). If an Event of Default described in Section 3(d) shall have occurred and shall be continuing and the non-defaulting party has not sent a notice designating an Early Termination Date within 30 days of the occurrence of the Event of Default, the Defaulting Party may by no more than 20 days notice to the non-defaulting party designate a day no earlier than the day such notice is effective as an Early Termination Date.  On the Early Termination Date, all obligations under all Derivative Transactions with respect to all Determination Periods which would have ended after the Early Termination Date shall be terminated, except as provided below. If an Early Termination Date has been designated, the non-defaulting party shall in good faith calculate its Gains or Losses and Costs resulting from the termination of the parties' obligations under all Derivative Transactions with respect to all Payment Dates which would have occurred after the Early Termination Date had the Early Termination Date not occurred. The non-defaulting party shall aggregate such Gains, Losses and Costs with respect to all Derivative Transactions into a single net amount and notify the Defaulting Party of the net amount owed or owing. If the non-defaulting party's aggregate Losses and Costs exceed its aggregate Gains, the Defaulting Party shall, within 5 Business Days of receipt of such notice, pay the net amount to the non-defaulting party, which amount shall bear interest at the Interest Rate from the Early Termination Date until paid. If the non-defaulting party's aggregate Gains exceed its Losses and Costs, if any, resulting from the Event of Default, subject to the provisions of Section 5 herein, the non-defaulting party shall pay the net amount to the Defaulting Party on the Payment Date for the first next succeeding Determination Period. As used herein with respect to each party: (a) "</w:t>
      </w:r>
      <w:r>
        <w:rPr>
          <w:rFonts w:cs="Arial" w:ascii="Arial" w:hAnsi="Arial"/>
          <w:sz w:val="20"/>
          <w:szCs w:val="20"/>
          <w:u w:val="single"/>
        </w:rPr>
        <w:t>Costs</w:t>
      </w:r>
      <w:r>
        <w:rPr>
          <w:rFonts w:cs="Arial" w:ascii="Arial" w:hAnsi="Arial"/>
          <w:sz w:val="20"/>
          <w:szCs w:val="20"/>
        </w:rPr>
        <w:t>" shall mean, with respect to such party, brokerage fees, commissions and other similar transaction costs and expenses reasonably incurred by such a party either in terminating any arrangement pursuant to which it has hedged its obligations or entering into new arrangements which replace a Derivative Transaction; (b) "</w:t>
      </w:r>
      <w:r>
        <w:rPr>
          <w:rFonts w:cs="Arial" w:ascii="Arial" w:hAnsi="Arial"/>
          <w:sz w:val="20"/>
          <w:szCs w:val="20"/>
          <w:u w:val="single"/>
        </w:rPr>
        <w:t>Gains</w:t>
      </w:r>
      <w:r>
        <w:rPr>
          <w:rFonts w:cs="Arial" w:ascii="Arial" w:hAnsi="Arial"/>
          <w:sz w:val="20"/>
          <w:szCs w:val="20"/>
        </w:rPr>
        <w:t>" shall mean, with respect to a party, an amount equal to the present value of the economic benefit, if any, (exclusive of costs) to it resulting from the termination of its obligations with respect to a Derivative Transaction, determined in a commercially reasonable manner; and (c) "</w:t>
      </w:r>
      <w:r>
        <w:rPr>
          <w:rFonts w:cs="Arial" w:ascii="Arial" w:hAnsi="Arial"/>
          <w:sz w:val="20"/>
          <w:szCs w:val="20"/>
          <w:u w:val="single"/>
        </w:rPr>
        <w:t>Losses</w:t>
      </w:r>
      <w:r>
        <w:rPr>
          <w:rFonts w:cs="Arial" w:ascii="Arial" w:hAnsi="Arial"/>
          <w:sz w:val="20"/>
          <w:szCs w:val="20"/>
        </w:rPr>
        <w:t xml:space="preserve">" shall mean an amount equal to the present value of the economic loss, if any, (exclusive of Costs) to it resulting from the termination of its obligations with respect to a Derivative Transaction, determined in a commercially reasonable manner. </w:t>
      </w:r>
      <w:r>
        <w:rPr>
          <w:rFonts w:cs="Arial" w:ascii="Arial" w:hAnsi="Arial"/>
          <w:sz w:val="20"/>
        </w:rPr>
        <w:t xml:space="preserve">Gains and Losses may be determined by reference to information either available to the determining party internally or supplied by one or more third parties including, without limitation, quotations (either firm or indicative) of relevant rates, prices, yields, yield curves, volatilities, spreads or other relevant market data in the relevant markets.  Third parties supplying such information may include, without limitation, dealers in the relevant markets, end-users of the relevant product, information vendors and other sources of market information.  </w:t>
      </w:r>
      <w:r>
        <w:rPr>
          <w:rFonts w:cs="Arial" w:ascii="Arial" w:hAnsi="Arial"/>
          <w:b/>
          <w:bCs/>
          <w:sz w:val="20"/>
          <w:szCs w:val="20"/>
        </w:rPr>
        <w:t>No party shall be required to pay SPECIAL, EXEMPLARY, PUNITIVE, incidental, consequential or indirect damages (WHETHER OR NOT ARISING FROM A PARTY'S NEGLIGENCE) to the other party, except to the extent that the payments required to be made pursuant to the Transaction are deemed to be such damages. If and to the extent any payment made pursuant to the Transaction is deemed to constitute liquidated damages, the parties acknowledge and agree that damages are difficult or impossible to determine and that such payment constitutes a reasonable approximation of the amount of such damages, and not a penalty.</w:t>
      </w:r>
    </w:p>
    <w:p>
      <w:pPr>
        <w:pStyle w:val="Normal"/>
        <w:jc w:val="both"/>
        <w:rPr/>
      </w:pPr>
      <w:r>
        <w:rPr>
          <w:rFonts w:cs="Arial" w:ascii="Arial" w:hAnsi="Arial"/>
          <w:sz w:val="20"/>
          <w:szCs w:val="20"/>
        </w:rPr>
        <w:t xml:space="preserve">5. </w:t>
      </w:r>
      <w:r>
        <w:rPr>
          <w:rFonts w:cs="Arial" w:ascii="Arial" w:hAnsi="Arial"/>
          <w:b/>
          <w:bCs/>
          <w:sz w:val="20"/>
          <w:szCs w:val="20"/>
          <w:u w:val="single"/>
        </w:rPr>
        <w:t>Setoff</w:t>
      </w:r>
      <w:r>
        <w:rPr>
          <w:rFonts w:cs="Arial" w:ascii="Arial" w:hAnsi="Arial"/>
          <w:sz w:val="20"/>
          <w:szCs w:val="20"/>
        </w:rPr>
        <w:t xml:space="preserve">. </w:t>
      </w:r>
      <w:r>
        <w:rPr>
          <w:rFonts w:cs="Arial" w:ascii="Arial" w:hAnsi="Arial"/>
          <w:sz w:val="20"/>
        </w:rPr>
        <w:t>Upon the designation of an Early Termination Date the non-defaulting party ("X") may, at its option and in its discretion, setoff, against any amounts Owed to the Defaulting Party ("Y") in Dollars or any other currency by X or any Affiliate of X under this Traansaction or under any other agreement(s), instrument(s) or undertaking(s), any amounts Owed in Dollars or any other currency by Y to X or any of X's Affiliates (irrespective of place of payment or booking office of the obligation) under this Transaction or under any other agreement(s), instrument(s) or undertaking(s).  The obligations of Y and X under this Transaction in respect of such amounts shall be deemed satisfied and discharged to the extent of any such setoff exercised by X and/or X's Affiliates.  X will give Y notice of any setoff effected under this Section as soon as practicable after the setoff is effected provided that failure to give such notice shall not affect the validity of the setoff.  For purposes of this Section, "Owed" shall mean any amounts owed or otherwise accrued and payable (regardless of whether such amounts have been or could be invoiced) as of the Early Termination Date.  Amounts subject to the setoff permitted in this Section may be converted by X into any currency in which any obligation Owed is denominated at the rate of exchange at which X, acting in a reasonable manner and in good faith, would be able to purchase the relevant amount of the currency being converted.  If an obligation is unascertained, X may in good faith estimate that obligation and setoff in respect of the estimate, subject to the relevant party accounting to the other when the obligation is ascertained.  Nothing in this Section shall be effective to create a charge or other security interest except as may be provided under applicable law.  This setoff provision shall be without limitation and in addition to any right of setoff, netting, offset, combination of accounts, counterclaim, lien or other right to which X or any of X’s Affiliates is at any time otherwise entitled (whether by operation of law, contract or otherwise).  Each of the parties represents and acknowledges that the rights set forth in this Section are an integral part of this Transaction between the parties and that without such rights the parties would not be willing to enter into any Transaction.  Each of the parties further acknowledges that it is entering into this Transaction on behalf of itself as principal and, with respect to this Section, as agent on behalf of its Affiliates, which Affiliates shall receive the benefits of this Section and otherwise be bound as if such Affiliates had directly entered into this Transaction as it relates to this Section.</w:t>
      </w:r>
    </w:p>
    <w:p>
      <w:pPr>
        <w:pStyle w:val="Normal"/>
        <w:jc w:val="both"/>
        <w:rPr>
          <w:rFonts w:ascii="Arial" w:hAnsi="Arial" w:cs="Arial"/>
          <w:color w:val="000000"/>
          <w:sz w:val="20"/>
          <w:szCs w:val="22"/>
        </w:rPr>
      </w:pPr>
      <w:r>
        <w:rPr>
          <w:rFonts w:cs="Arial" w:ascii="Arial" w:hAnsi="Arial"/>
          <w:color w:val="000000"/>
          <w:sz w:val="20"/>
          <w:szCs w:val="22"/>
        </w:rPr>
      </w:r>
    </w:p>
    <w:p>
      <w:pPr>
        <w:pStyle w:val="BodyText2"/>
        <w:rPr>
          <w:rFonts w:ascii="Arial" w:hAnsi="Arial" w:cs="Arial"/>
          <w:sz w:val="20"/>
        </w:rPr>
      </w:pPr>
      <w:r>
        <w:rPr>
          <w:rFonts w:cs="Arial" w:ascii="Arial" w:hAnsi="Arial"/>
          <w:sz w:val="20"/>
        </w:rPr>
        <w:t>Notwithstanding any provision to the contrary contained in this Transaction, the non-defaulting party shall not be required to pay to the Defaulting Party any amount under Section 4 until the non-defaulting party receives confirmation satisfactory to it in its reasonable discretion (which may include an opinion of its counsel) that all other obligations of any kind whatsoever of the Defaulting Party to make any payments to the non-defaulting party or any of its Affiliates under this Transaction or under any other agreement(s), instrument(s) or undertaking(s), which are Owed as of the Early Termination Date hereof have been fully and finally satisfied.</w:t>
      </w:r>
    </w:p>
    <w:p>
      <w:pPr>
        <w:pStyle w:val="NormalWeb"/>
        <w:rPr/>
      </w:pPr>
      <w:r>
        <w:rPr>
          <w:rFonts w:cs="Arial" w:ascii="Arial" w:hAnsi="Arial"/>
          <w:sz w:val="20"/>
          <w:szCs w:val="20"/>
        </w:rPr>
        <w:t xml:space="preserve">6. </w:t>
      </w:r>
      <w:r>
        <w:rPr>
          <w:rFonts w:cs="Arial" w:ascii="Arial" w:hAnsi="Arial"/>
          <w:b/>
          <w:bCs/>
          <w:sz w:val="20"/>
          <w:szCs w:val="20"/>
          <w:u w:val="single"/>
        </w:rPr>
        <w:t>Miscellaneous</w:t>
      </w:r>
      <w:r>
        <w:rPr>
          <w:rFonts w:cs="Arial" w:ascii="Arial" w:hAnsi="Arial"/>
          <w:sz w:val="20"/>
          <w:szCs w:val="20"/>
        </w:rPr>
        <w:t>. This Transaction shall (a) be governed by, interpreted and construed in accordance with the laws of the State of New York (excluding conflict of laws principles); (b) be binding upon and inure of the benefit of the parties and their respective successors and (effective upon scheduled delivery day) permitted assigns; however, except for any assignments by a party to an Affiliate of such party (y) who is in the same tax jurisdiction as such party and (z) whose creditworthiness is not materially weaker than that of such party, neither party shall have the power to assign or otherwise transfer all or any of its rights or obligations under this Transaction without the prior written consent of the other party, which consent shall not be unreasonably withheld or delayed, and any purported assignment or transfer in violation of this provision shall be void and of no force and effect; and (c) contain the entire agreement between the parties and supersede all prior oral or written communications or agreements relating to the subject matter. All notices in connection with this Transaction may be given during normal business hours by hand delivery (effective upon attempted delivery), overnight mail service (effective upon scheduled weekday delivery day) or telefacsimile (effective upon receipt of evidence, including telefacsimile evidence, that telefacsimile was received), as specified in this Transaction or as may be subsequently designated by effective notice. Any party in default hereunder shall reimburse the other party, on demand, for actual, reasonable out-of-pocket expenses (and any interest thereon at the Interest Rate), including, without limitation, reasonable legal fees and expenses incurred by the other party during the occurrence and continuation of such default in connection with the enforcement of, or the preservation of its rights in respect of this Transaction.</w:t>
      </w:r>
    </w:p>
    <w:p>
      <w:pPr>
        <w:pStyle w:val="NormalWeb"/>
        <w:rPr>
          <w:rFonts w:ascii="Arial" w:hAnsi="Arial" w:cs="Arial"/>
          <w:sz w:val="20"/>
          <w:szCs w:val="20"/>
        </w:rPr>
      </w:pPr>
      <w:r>
        <w:rPr>
          <w:rFonts w:cs="Arial" w:ascii="Arial" w:hAnsi="Arial"/>
          <w:sz w:val="20"/>
          <w:szCs w:val="20"/>
        </w:rPr>
        <w:t>Any dispute relating to this Transaction shall be resolved by binding arbitration conducted in accordance with the Commercial Arbitration Rules of the American Arbitration Association ("AAA") and governed by the Federal Arbitration Act ("FAA"). Each party shall select one arbitrator within 30 days of a notice for arbitration and the two arbitrators shall select a third neutral arbitrator with at least eight years professional experience in over-the-counter derivative transactions. Only damages allowed pursuant to this Transaction may be awarded and the arbitrators shall have no authority to award treble, exemplary or punitive damages of any kind under any circumstances regardless of whether such damages may be available under the governing law for this Transaction and/or the FAA or AAA. The arbitration shall be conducted in New York City, New York and any related award shall be confidential.</w:t>
      </w:r>
    </w:p>
    <w:p>
      <w:pPr>
        <w:pStyle w:val="NormalWeb"/>
        <w:rPr>
          <w:rFonts w:ascii="Arial" w:hAnsi="Arial" w:cs="Arial"/>
          <w:sz w:val="20"/>
          <w:szCs w:val="20"/>
        </w:rPr>
      </w:pPr>
      <w:r>
        <w:rPr>
          <w:rFonts w:cs="Arial" w:ascii="Arial" w:hAnsi="Arial"/>
          <w:sz w:val="20"/>
          <w:szCs w:val="20"/>
        </w:rPr>
        <w:t>The contents of this Transaction and all other documents relating to this Transaction, and any information made available by one party to the other party with respect to this Transaction is confidential and shall not be disclosed to any third party (nor shall any public announcement be made by either party), except for such information (1) as may become generally available to the public, (2) as may be required or appropriate in response to any summons, subpoena, or otherwise in connection with any litigation or to comply with any applicable law, order, regulation, ruling or accounting disclosure rule or standard, (3) as may be obtained from a non-confidential source that disclosed such information in a manner that did not violate its obligations to the non-disclosing party, in making such disclosure, or (4) as may be furnished to the disclosing party's Affiliates, and to each of such person’s auditors, attorneys, advisors or lenders which are required to keep the information that is disclosed in confidence.</w:t>
      </w:r>
    </w:p>
    <w:p>
      <w:pPr>
        <w:pStyle w:val="NormalWeb"/>
        <w:rPr/>
      </w:pPr>
      <w:r>
        <w:rPr>
          <w:rFonts w:cs="Arial" w:ascii="Arial" w:hAnsi="Arial"/>
          <w:sz w:val="20"/>
          <w:szCs w:val="20"/>
        </w:rPr>
        <w:t xml:space="preserve">If any term, provision, covenant, or condition of this Transaction, or the application thereof to any party or circumstance, shall be held to be invalid or unenforceable (in whole or in part) for any reason, the remaining terms, provisions, covenants, and conditions hereof shall continue in full force and effect as if this Transaction had been executed with the invalid or unenforceable portion eliminated, so long as this Transaction as so modified continues to express, without material change, the original intentions of the parties as to the subject matter of this Transaction and the deletion of such portion of this Transaction will not substantially impair the respective benefits or expectations of the parties to this Transaction; </w:t>
      </w:r>
      <w:r>
        <w:rPr>
          <w:rFonts w:cs="Arial" w:ascii="Arial" w:hAnsi="Arial"/>
          <w:sz w:val="20"/>
          <w:szCs w:val="20"/>
          <w:u w:val="single"/>
        </w:rPr>
        <w:t>provided</w:t>
      </w:r>
      <w:r>
        <w:rPr>
          <w:rFonts w:cs="Arial" w:ascii="Arial" w:hAnsi="Arial"/>
          <w:sz w:val="20"/>
          <w:szCs w:val="20"/>
        </w:rPr>
        <w:t xml:space="preserve">, </w:t>
      </w:r>
      <w:r>
        <w:rPr>
          <w:rFonts w:cs="Arial" w:ascii="Arial" w:hAnsi="Arial"/>
          <w:sz w:val="20"/>
          <w:szCs w:val="20"/>
          <w:u w:val="single"/>
        </w:rPr>
        <w:t>however</w:t>
      </w:r>
      <w:r>
        <w:rPr>
          <w:rFonts w:cs="Arial" w:ascii="Arial" w:hAnsi="Arial"/>
          <w:sz w:val="20"/>
          <w:szCs w:val="20"/>
        </w:rPr>
        <w:t>, that this severability provision shall not be applicable if any provision of Section 2, 3, or 4 (or any definition or provision in Section 8 to the extent it relates to, or is used in or in connection with any such Section) shall be so held to be invalid or unenforceable.</w:t>
      </w:r>
    </w:p>
    <w:p>
      <w:pPr>
        <w:pStyle w:val="NormalWeb"/>
        <w:rPr/>
      </w:pPr>
      <w:r>
        <w:rPr>
          <w:rFonts w:cs="Arial" w:ascii="Arial" w:hAnsi="Arial"/>
          <w:sz w:val="20"/>
          <w:szCs w:val="20"/>
        </w:rPr>
        <w:t xml:space="preserve">7. </w:t>
      </w:r>
      <w:r>
        <w:rPr>
          <w:rFonts w:cs="Arial" w:ascii="Arial" w:hAnsi="Arial"/>
          <w:b/>
          <w:bCs/>
          <w:sz w:val="20"/>
          <w:szCs w:val="20"/>
          <w:u w:val="single"/>
        </w:rPr>
        <w:t>Market Disruption</w:t>
      </w:r>
      <w:r>
        <w:rPr>
          <w:rFonts w:cs="Arial" w:ascii="Arial" w:hAnsi="Arial"/>
          <w:sz w:val="20"/>
          <w:szCs w:val="20"/>
        </w:rPr>
        <w:t xml:space="preserve">. If a Market Disruption Event has occurred and is continuing on any Trading Day, the Floating Price for such Trading Day shall be determined pursuant to the Floating Price Source specified in this Transaction for the first Trading Day thereafter on which no Market Disruption Event exists; </w:t>
      </w:r>
      <w:r>
        <w:rPr>
          <w:rFonts w:cs="Arial" w:ascii="Arial" w:hAnsi="Arial"/>
          <w:sz w:val="20"/>
          <w:szCs w:val="20"/>
          <w:u w:val="single"/>
        </w:rPr>
        <w:t>provided</w:t>
      </w:r>
      <w:r>
        <w:rPr>
          <w:rFonts w:cs="Arial" w:ascii="Arial" w:hAnsi="Arial"/>
          <w:sz w:val="20"/>
          <w:szCs w:val="20"/>
        </w:rPr>
        <w:t xml:space="preserve">, </w:t>
      </w:r>
      <w:r>
        <w:rPr>
          <w:rFonts w:cs="Arial" w:ascii="Arial" w:hAnsi="Arial"/>
          <w:sz w:val="20"/>
          <w:szCs w:val="20"/>
          <w:u w:val="single"/>
        </w:rPr>
        <w:t>however</w:t>
      </w:r>
      <w:r>
        <w:rPr>
          <w:rFonts w:cs="Arial" w:ascii="Arial" w:hAnsi="Arial"/>
          <w:sz w:val="20"/>
          <w:szCs w:val="20"/>
        </w:rPr>
        <w:t>, if the Floating Price is not so determined within three Business Days after the first Trading Day on which the Market Disruption Event occurred or existed, then the Floating Price shall be determined by reference to the Alternative Floating Price Source specified in this Transaction, if any, which is not subject to a Market Disruption Event. If no Alternative Floating Price Source is available or has been specified, and the Market Disruption Event continues for more than three Business Days, then the parties shall negotiate in good faith to agree on a Floating Price (or a method for determining a Floating Price), and if the parties have not so agreed on or before the twelfth Business Day following the first Trading Day on which the Market Disruption Event occurred or existed, then the Floating Price shall be determined in good faith by Netco, by taking the average of two or more dealer quotes.</w:t>
      </w:r>
    </w:p>
    <w:p>
      <w:pPr>
        <w:pStyle w:val="NormalWeb"/>
        <w:rPr/>
      </w:pPr>
      <w:r>
        <w:rPr>
          <w:rFonts w:cs="Arial" w:ascii="Arial" w:hAnsi="Arial"/>
          <w:sz w:val="20"/>
          <w:szCs w:val="20"/>
        </w:rPr>
        <w:t xml:space="preserve">8. </w:t>
      </w:r>
      <w:r>
        <w:rPr>
          <w:rFonts w:cs="Arial" w:ascii="Arial" w:hAnsi="Arial"/>
          <w:b/>
          <w:bCs/>
          <w:sz w:val="20"/>
          <w:szCs w:val="20"/>
          <w:u w:val="single"/>
        </w:rPr>
        <w:t>General Definitions</w:t>
      </w:r>
      <w:r>
        <w:rPr>
          <w:rFonts w:cs="Arial" w:ascii="Arial" w:hAnsi="Arial"/>
          <w:sz w:val="20"/>
          <w:szCs w:val="20"/>
        </w:rPr>
        <w:t>. Terms used, but not defined in this GTC, are used with the meanings provided on the Website or in any written confirmation. As used in this GTC:</w:t>
      </w:r>
    </w:p>
    <w:p>
      <w:pPr>
        <w:pStyle w:val="NormalWeb"/>
        <w:rPr/>
      </w:pPr>
      <w:r>
        <w:rPr>
          <w:rFonts w:cs="Arial" w:ascii="Arial" w:hAnsi="Arial"/>
          <w:i/>
          <w:iCs/>
          <w:sz w:val="20"/>
          <w:szCs w:val="20"/>
        </w:rPr>
        <w:t>"</w:t>
      </w:r>
      <w:r>
        <w:rPr>
          <w:rFonts w:cs="Arial" w:ascii="Arial" w:hAnsi="Arial"/>
          <w:i/>
          <w:iCs/>
          <w:sz w:val="20"/>
          <w:szCs w:val="20"/>
          <w:u w:val="single"/>
        </w:rPr>
        <w:t>Affiliate</w:t>
      </w:r>
      <w:r>
        <w:rPr>
          <w:rFonts w:cs="Arial" w:ascii="Arial" w:hAnsi="Arial"/>
          <w:sz w:val="20"/>
          <w:szCs w:val="20"/>
        </w:rPr>
        <w:t>" shall mean in relation to any party, any entity controlled, directly or indirectly, by the party, any entity that controls, directly or indirectly, the party or any entity directly or indirectly under common control with the party. Control means ownership of a majority of the voting power of such entity or party.</w:t>
      </w:r>
    </w:p>
    <w:p>
      <w:pPr>
        <w:pStyle w:val="NormalWeb"/>
        <w:rPr/>
      </w:pPr>
      <w:r>
        <w:rPr>
          <w:rFonts w:cs="Arial" w:ascii="Arial" w:hAnsi="Arial"/>
          <w:sz w:val="20"/>
          <w:szCs w:val="20"/>
        </w:rPr>
        <w:t>"</w:t>
      </w:r>
      <w:r>
        <w:rPr>
          <w:rFonts w:cs="Arial" w:ascii="Arial" w:hAnsi="Arial"/>
          <w:i/>
          <w:iCs/>
          <w:sz w:val="20"/>
          <w:szCs w:val="20"/>
          <w:u w:val="single"/>
        </w:rPr>
        <w:t>American</w:t>
      </w:r>
      <w:r>
        <w:rPr>
          <w:rFonts w:cs="Arial" w:ascii="Arial" w:hAnsi="Arial"/>
          <w:sz w:val="20"/>
          <w:szCs w:val="20"/>
        </w:rPr>
        <w:t>" means a style of Option pursuant to which the right(s) granted are exercisable on any Business Day during an Exercise Period that consists of more than one day.</w:t>
      </w:r>
    </w:p>
    <w:p>
      <w:pPr>
        <w:pStyle w:val="NormalWeb"/>
        <w:rPr/>
      </w:pPr>
      <w:r>
        <w:rPr>
          <w:rFonts w:cs="Arial" w:ascii="Arial" w:hAnsi="Arial"/>
          <w:sz w:val="20"/>
          <w:szCs w:val="20"/>
        </w:rPr>
        <w:t>"</w:t>
      </w:r>
      <w:r>
        <w:rPr>
          <w:rFonts w:cs="Arial" w:ascii="Arial" w:hAnsi="Arial"/>
          <w:i/>
          <w:iCs/>
          <w:sz w:val="20"/>
          <w:szCs w:val="20"/>
          <w:u w:val="single"/>
        </w:rPr>
        <w:t>Asian</w:t>
      </w:r>
      <w:r>
        <w:rPr>
          <w:rFonts w:cs="Arial" w:ascii="Arial" w:hAnsi="Arial"/>
          <w:i/>
          <w:iCs/>
          <w:sz w:val="20"/>
          <w:szCs w:val="20"/>
        </w:rPr>
        <w:t>"</w:t>
      </w:r>
      <w:r>
        <w:rPr>
          <w:rFonts w:cs="Arial" w:ascii="Arial" w:hAnsi="Arial"/>
          <w:sz w:val="20"/>
          <w:szCs w:val="20"/>
        </w:rPr>
        <w:t xml:space="preserve"> means a style of Option pursuant to which the right(s) granted are exercisable only on the one day designated as the Exercise Period in the Transaction, and the Floating Price for which is the unweighted arithmetic average (or such other specified method of averaging) of the Floating Prices for the Trading Days referenced in the Floating Price Source (unless otherwise specified in the Transaction).</w:t>
      </w:r>
    </w:p>
    <w:p>
      <w:pPr>
        <w:pStyle w:val="NormalWeb"/>
        <w:rPr/>
      </w:pPr>
      <w:r>
        <w:rPr>
          <w:rFonts w:cs="Arial" w:ascii="Arial" w:hAnsi="Arial"/>
          <w:sz w:val="20"/>
          <w:szCs w:val="20"/>
        </w:rPr>
        <w:t>"</w:t>
      </w:r>
      <w:r>
        <w:rPr>
          <w:rFonts w:cs="Arial" w:ascii="Arial" w:hAnsi="Arial"/>
          <w:i/>
          <w:iCs/>
          <w:sz w:val="20"/>
          <w:szCs w:val="20"/>
          <w:u w:val="single"/>
        </w:rPr>
        <w:t>Automatic Exercise</w:t>
      </w:r>
      <w:r>
        <w:rPr>
          <w:rFonts w:cs="Arial" w:ascii="Arial" w:hAnsi="Arial"/>
          <w:sz w:val="20"/>
          <w:szCs w:val="20"/>
        </w:rPr>
        <w:t>" means, if specified to be applicable in the Transaction, that if at the close of the Exercise Period the Option has not been exercised, it will be deemed exercised as of that time. If Automatic Exercise is specified to be applicable and the Exercise Period is specified to be inapplicable in the Transaction, the Option (including Swaptions) shall be deemed exercised on the first day of the first Determination Period.</w:t>
      </w:r>
    </w:p>
    <w:p>
      <w:pPr>
        <w:pStyle w:val="NormalWeb"/>
        <w:rPr/>
      </w:pPr>
      <w:r>
        <w:rPr>
          <w:rFonts w:cs="Arial" w:ascii="Arial" w:hAnsi="Arial"/>
          <w:sz w:val="20"/>
          <w:szCs w:val="20"/>
        </w:rPr>
        <w:t>"</w:t>
      </w:r>
      <w:r>
        <w:rPr>
          <w:rFonts w:cs="Arial" w:ascii="Arial" w:hAnsi="Arial"/>
          <w:i/>
          <w:iCs/>
          <w:sz w:val="20"/>
          <w:szCs w:val="20"/>
          <w:u w:val="single"/>
        </w:rPr>
        <w:t>Business Day</w:t>
      </w:r>
      <w:r>
        <w:rPr>
          <w:rFonts w:cs="Arial" w:ascii="Arial" w:hAnsi="Arial"/>
          <w:sz w:val="20"/>
          <w:szCs w:val="20"/>
        </w:rPr>
        <w:t>" means a day on which commercial banks are open for business in New York, New York or Houston, Texas.</w:t>
      </w:r>
    </w:p>
    <w:p>
      <w:pPr>
        <w:pStyle w:val="NormalWeb"/>
        <w:rPr/>
      </w:pPr>
      <w:r>
        <w:rPr>
          <w:rFonts w:cs="Arial" w:ascii="Arial" w:hAnsi="Arial"/>
          <w:sz w:val="20"/>
          <w:szCs w:val="20"/>
        </w:rPr>
        <w:t>"</w:t>
      </w:r>
      <w:r>
        <w:rPr>
          <w:rFonts w:cs="Arial" w:ascii="Arial" w:hAnsi="Arial"/>
          <w:i/>
          <w:iCs/>
          <w:sz w:val="20"/>
          <w:szCs w:val="20"/>
          <w:u w:val="single"/>
        </w:rPr>
        <w:t>Call</w:t>
      </w:r>
      <w:r>
        <w:rPr>
          <w:rFonts w:cs="Arial" w:ascii="Arial" w:hAnsi="Arial"/>
          <w:sz w:val="20"/>
          <w:szCs w:val="20"/>
        </w:rPr>
        <w:t>" means an Option entitling Buyer to receive after exercise the Cash Settlement Amount on the applicable Payment Date(s) if the Floating Price exceeds the Strike Price.</w:t>
      </w:r>
    </w:p>
    <w:p>
      <w:pPr>
        <w:pStyle w:val="NormalWeb"/>
        <w:rPr/>
      </w:pPr>
      <w:r>
        <w:rPr>
          <w:rFonts w:cs="Arial" w:ascii="Arial" w:hAnsi="Arial"/>
          <w:sz w:val="20"/>
          <w:szCs w:val="20"/>
        </w:rPr>
        <w:t>"</w:t>
      </w:r>
      <w:r>
        <w:rPr>
          <w:rFonts w:cs="Arial" w:ascii="Arial" w:hAnsi="Arial"/>
          <w:i/>
          <w:iCs/>
          <w:sz w:val="20"/>
          <w:szCs w:val="20"/>
          <w:u w:val="single"/>
        </w:rPr>
        <w:t>Cap Amount</w:t>
      </w:r>
      <w:r>
        <w:rPr>
          <w:rFonts w:cs="Arial" w:ascii="Arial" w:hAnsi="Arial"/>
          <w:sz w:val="20"/>
          <w:szCs w:val="20"/>
        </w:rPr>
        <w:t>" means an amount equal to the product of (a) the Notional Quantity per Determination Period multiplied by (b) the Cap Price, or as otherwise provided in the Transaction.</w:t>
      </w:r>
    </w:p>
    <w:p>
      <w:pPr>
        <w:pStyle w:val="NormalWeb"/>
        <w:rPr/>
      </w:pPr>
      <w:r>
        <w:rPr>
          <w:rFonts w:cs="Arial" w:ascii="Arial" w:hAnsi="Arial"/>
          <w:sz w:val="20"/>
          <w:szCs w:val="20"/>
        </w:rPr>
        <w:t>"</w:t>
      </w:r>
      <w:r>
        <w:rPr>
          <w:rFonts w:cs="Arial" w:ascii="Arial" w:hAnsi="Arial"/>
          <w:i/>
          <w:iCs/>
          <w:sz w:val="20"/>
          <w:szCs w:val="20"/>
          <w:u w:val="single"/>
        </w:rPr>
        <w:t>Cash Settlement Amount</w:t>
      </w:r>
      <w:r>
        <w:rPr>
          <w:rFonts w:cs="Arial" w:ascii="Arial" w:hAnsi="Arial"/>
          <w:sz w:val="20"/>
          <w:szCs w:val="20"/>
        </w:rPr>
        <w:t>" means, in respect of an Option, an amount (if any) that is payable by Seller on the applicable Payment Date(s) and is determined as provided in the Transaction governing such Option.</w:t>
      </w:r>
    </w:p>
    <w:p>
      <w:pPr>
        <w:pStyle w:val="NormalWeb"/>
        <w:rPr/>
      </w:pPr>
      <w:r>
        <w:rPr>
          <w:rFonts w:cs="Arial" w:ascii="Arial" w:hAnsi="Arial"/>
          <w:sz w:val="20"/>
          <w:szCs w:val="20"/>
        </w:rPr>
        <w:t>"</w:t>
      </w:r>
      <w:r>
        <w:rPr>
          <w:rFonts w:cs="Arial" w:ascii="Arial" w:hAnsi="Arial"/>
          <w:i/>
          <w:iCs/>
          <w:sz w:val="20"/>
          <w:szCs w:val="20"/>
          <w:u w:val="single"/>
        </w:rPr>
        <w:t>Derivative Transaction</w:t>
      </w:r>
      <w:r>
        <w:rPr>
          <w:rFonts w:cs="Arial" w:ascii="Arial" w:hAnsi="Arial"/>
          <w:sz w:val="20"/>
          <w:szCs w:val="20"/>
        </w:rPr>
        <w:t>" means all swap, option or other financially-settled derivative transactions between the parties.</w:t>
      </w:r>
    </w:p>
    <w:p>
      <w:pPr>
        <w:pStyle w:val="NormalWeb"/>
        <w:rPr/>
      </w:pPr>
      <w:r>
        <w:rPr>
          <w:rFonts w:cs="Arial" w:ascii="Arial" w:hAnsi="Arial"/>
          <w:i/>
          <w:iCs/>
          <w:sz w:val="20"/>
          <w:szCs w:val="20"/>
        </w:rPr>
        <w:t>"</w:t>
      </w:r>
      <w:r>
        <w:rPr>
          <w:rFonts w:cs="Arial" w:ascii="Arial" w:hAnsi="Arial"/>
          <w:i/>
          <w:iCs/>
          <w:sz w:val="20"/>
          <w:szCs w:val="20"/>
          <w:u w:val="single"/>
        </w:rPr>
        <w:t>Determination Period</w:t>
      </w:r>
      <w:r>
        <w:rPr>
          <w:rFonts w:cs="Arial" w:ascii="Arial" w:hAnsi="Arial"/>
          <w:sz w:val="20"/>
          <w:szCs w:val="20"/>
        </w:rPr>
        <w:t>" means each period from and including the first date specified as being included in that Determination Period to and including the last date specified as being included in that Determination Period. If such period is a calendar month, the period commences on the first day of the month and it ends on the last day of the month.</w:t>
      </w:r>
    </w:p>
    <w:p>
      <w:pPr>
        <w:pStyle w:val="NormalWeb"/>
        <w:rPr/>
      </w:pPr>
      <w:r>
        <w:rPr>
          <w:rFonts w:cs="Arial" w:ascii="Arial" w:hAnsi="Arial"/>
          <w:sz w:val="20"/>
          <w:szCs w:val="20"/>
        </w:rPr>
        <w:t>"</w:t>
      </w:r>
      <w:r>
        <w:rPr>
          <w:rFonts w:cs="Arial" w:ascii="Arial" w:hAnsi="Arial"/>
          <w:i/>
          <w:iCs/>
          <w:sz w:val="20"/>
          <w:szCs w:val="20"/>
          <w:u w:val="single"/>
        </w:rPr>
        <w:t>European</w:t>
      </w:r>
      <w:r>
        <w:rPr>
          <w:rFonts w:cs="Arial" w:ascii="Arial" w:hAnsi="Arial"/>
          <w:i/>
          <w:iCs/>
          <w:sz w:val="20"/>
          <w:szCs w:val="20"/>
        </w:rPr>
        <w:t>"</w:t>
      </w:r>
      <w:r>
        <w:rPr>
          <w:rFonts w:cs="Arial" w:ascii="Arial" w:hAnsi="Arial"/>
          <w:sz w:val="20"/>
          <w:szCs w:val="20"/>
        </w:rPr>
        <w:t xml:space="preserve"> means a style of Option pursuant to which the right(s) granted are exercisable only on the one day designated as the Exercise Period in the Transaction, if any.</w:t>
      </w:r>
    </w:p>
    <w:p>
      <w:pPr>
        <w:pStyle w:val="NormalWeb"/>
        <w:rPr/>
      </w:pPr>
      <w:r>
        <w:rPr>
          <w:rFonts w:cs="Arial" w:ascii="Arial" w:hAnsi="Arial"/>
          <w:sz w:val="20"/>
          <w:szCs w:val="20"/>
        </w:rPr>
        <w:t>"</w:t>
      </w:r>
      <w:r>
        <w:rPr>
          <w:rFonts w:cs="Arial" w:ascii="Arial" w:hAnsi="Arial"/>
          <w:i/>
          <w:iCs/>
          <w:sz w:val="20"/>
          <w:szCs w:val="20"/>
          <w:u w:val="single"/>
        </w:rPr>
        <w:t>Fixed Amount</w:t>
      </w:r>
      <w:r>
        <w:rPr>
          <w:rFonts w:cs="Arial" w:ascii="Arial" w:hAnsi="Arial"/>
          <w:sz w:val="20"/>
          <w:szCs w:val="20"/>
        </w:rPr>
        <w:t>" means an amount equal to the product of (a) the Notional Quantity per Determination Period multiplied by (b) the Fixed Price, or as otherwise provided in the Transaction.</w:t>
      </w:r>
    </w:p>
    <w:p>
      <w:pPr>
        <w:pStyle w:val="NormalWeb"/>
        <w:rPr/>
      </w:pPr>
      <w:r>
        <w:rPr>
          <w:rFonts w:cs="Arial" w:ascii="Arial" w:hAnsi="Arial"/>
          <w:sz w:val="20"/>
          <w:szCs w:val="20"/>
        </w:rPr>
        <w:t>"</w:t>
      </w:r>
      <w:r>
        <w:rPr>
          <w:rFonts w:cs="Arial" w:ascii="Arial" w:hAnsi="Arial"/>
          <w:i/>
          <w:iCs/>
          <w:sz w:val="20"/>
          <w:szCs w:val="20"/>
          <w:u w:val="single"/>
        </w:rPr>
        <w:t>Fixed Price Payor</w:t>
      </w:r>
      <w:r>
        <w:rPr>
          <w:rFonts w:cs="Arial" w:ascii="Arial" w:hAnsi="Arial"/>
          <w:sz w:val="20"/>
          <w:szCs w:val="20"/>
        </w:rPr>
        <w:t>" means (a) Netco if the terms set forth on the Website relevant to the Transaction provide that Counterparty is ‘Selling’ and (b) Counterparty if the terms set forth on the Website relevant to the Transaction provide that Counterparty is ‘Buying’.</w:t>
      </w:r>
    </w:p>
    <w:p>
      <w:pPr>
        <w:pStyle w:val="NormalWeb"/>
        <w:rPr/>
      </w:pPr>
      <w:r>
        <w:rPr>
          <w:rFonts w:cs="Arial" w:ascii="Arial" w:hAnsi="Arial"/>
          <w:sz w:val="20"/>
          <w:szCs w:val="20"/>
        </w:rPr>
        <w:t>"</w:t>
      </w:r>
      <w:r>
        <w:rPr>
          <w:rFonts w:cs="Arial" w:ascii="Arial" w:hAnsi="Arial"/>
          <w:i/>
          <w:iCs/>
          <w:sz w:val="20"/>
          <w:szCs w:val="20"/>
          <w:u w:val="single"/>
        </w:rPr>
        <w:t>Floating Amount</w:t>
      </w:r>
      <w:r>
        <w:rPr>
          <w:rFonts w:cs="Arial" w:ascii="Arial" w:hAnsi="Arial"/>
          <w:sz w:val="20"/>
          <w:szCs w:val="20"/>
        </w:rPr>
        <w:t>" means an amount equal to the product of (a) the Notional Quantity per Determination Period multiplied by (b) the Floating Price, or as otherwise provided in the Transaction.</w:t>
      </w:r>
    </w:p>
    <w:p>
      <w:pPr>
        <w:pStyle w:val="NormalWeb"/>
        <w:rPr/>
      </w:pPr>
      <w:r>
        <w:rPr>
          <w:rFonts w:cs="Arial" w:ascii="Arial" w:hAnsi="Arial"/>
          <w:sz w:val="20"/>
          <w:szCs w:val="20"/>
        </w:rPr>
        <w:t>"</w:t>
      </w:r>
      <w:r>
        <w:rPr>
          <w:rFonts w:cs="Arial" w:ascii="Arial" w:hAnsi="Arial"/>
          <w:i/>
          <w:iCs/>
          <w:sz w:val="20"/>
          <w:szCs w:val="20"/>
          <w:u w:val="single"/>
        </w:rPr>
        <w:t>Floating Price Payor</w:t>
      </w:r>
      <w:r>
        <w:rPr>
          <w:rFonts w:cs="Arial" w:ascii="Arial" w:hAnsi="Arial"/>
          <w:sz w:val="20"/>
          <w:szCs w:val="20"/>
        </w:rPr>
        <w:t>" means (a) Netco if the terms set forth on the Website relevant to the Transaction provide that Counterparty is ‘Buying’ and (b) Counterparty if the terms set forth on the Website relevant to the Transaction provide that Counterparty is ‘Selling’.</w:t>
      </w:r>
    </w:p>
    <w:p>
      <w:pPr>
        <w:pStyle w:val="NormalWeb"/>
        <w:rPr/>
      </w:pPr>
      <w:r>
        <w:rPr>
          <w:rFonts w:cs="Arial" w:ascii="Arial" w:hAnsi="Arial"/>
          <w:sz w:val="20"/>
          <w:szCs w:val="20"/>
        </w:rPr>
        <w:t>"</w:t>
      </w:r>
      <w:r>
        <w:rPr>
          <w:rFonts w:cs="Arial" w:ascii="Arial" w:hAnsi="Arial"/>
          <w:i/>
          <w:iCs/>
          <w:sz w:val="20"/>
          <w:szCs w:val="20"/>
          <w:u w:val="single"/>
        </w:rPr>
        <w:t>Floor Amount</w:t>
      </w:r>
      <w:r>
        <w:rPr>
          <w:rFonts w:cs="Arial" w:ascii="Arial" w:hAnsi="Arial"/>
          <w:sz w:val="20"/>
          <w:szCs w:val="20"/>
        </w:rPr>
        <w:t>" means an amount equal to the product of (a) the Notional Quantity per Determination Period multiplied by (b) the Floor Price, or as otherwise provided in the Transaction.</w:t>
      </w:r>
    </w:p>
    <w:p>
      <w:pPr>
        <w:pStyle w:val="NormalWeb"/>
        <w:rPr/>
      </w:pPr>
      <w:r>
        <w:rPr>
          <w:rFonts w:cs="Arial" w:ascii="Arial" w:hAnsi="Arial"/>
          <w:sz w:val="20"/>
          <w:szCs w:val="20"/>
        </w:rPr>
        <w:t>"</w:t>
      </w:r>
      <w:r>
        <w:rPr>
          <w:rFonts w:cs="Arial" w:ascii="Arial" w:hAnsi="Arial"/>
          <w:i/>
          <w:iCs/>
          <w:sz w:val="20"/>
          <w:szCs w:val="20"/>
          <w:u w:val="single"/>
        </w:rPr>
        <w:t>Indemnifiable Tax</w:t>
      </w:r>
      <w:r>
        <w:rPr>
          <w:rFonts w:cs="Arial" w:ascii="Arial" w:hAnsi="Arial"/>
          <w:sz w:val="20"/>
          <w:szCs w:val="20"/>
        </w:rPr>
        <w:t>" means any Tax other than a Tax that would not be imposed in respect of a payment under this Transaction but for a present or former connection between the jurisdiction of the government or taxation authority imposing such Tax and the recipient of such payment or a person related to such recipient (including, without limitation, a connection arising from such recipient or related person being or having been a citizen or resident of such jurisdiction, or being or having been organized, present or engaged in a trade or business in such jurisdiction, or having or having had a permanent establishment or fixed place of business in such jurisdiction, but excluding a connection arising solely from such recipient or related person having executed, delivered, performed its obligations or received a payment under, or enforced, this Transaction).</w:t>
      </w:r>
    </w:p>
    <w:p>
      <w:pPr>
        <w:pStyle w:val="NormalWeb"/>
        <w:rPr/>
      </w:pPr>
      <w:r>
        <w:rPr>
          <w:rFonts w:cs="Arial" w:ascii="Arial" w:hAnsi="Arial"/>
          <w:sz w:val="20"/>
          <w:szCs w:val="20"/>
        </w:rPr>
        <w:t>"</w:t>
      </w:r>
      <w:r>
        <w:rPr>
          <w:rFonts w:cs="Arial" w:ascii="Arial" w:hAnsi="Arial"/>
          <w:i/>
          <w:iCs/>
          <w:sz w:val="20"/>
          <w:szCs w:val="20"/>
          <w:u w:val="single"/>
        </w:rPr>
        <w:t>Interest Rate</w:t>
      </w:r>
      <w:r>
        <w:rPr>
          <w:rFonts w:cs="Arial" w:ascii="Arial" w:hAnsi="Arial"/>
          <w:sz w:val="20"/>
          <w:szCs w:val="20"/>
        </w:rPr>
        <w:t xml:space="preserve">" means (a) with respect to a non-defaulting party, a per annum rate of interest equal to the prime lending rate as may from time to time be published in </w:t>
      </w:r>
      <w:r>
        <w:rPr>
          <w:rFonts w:cs="Arial" w:ascii="Arial" w:hAnsi="Arial"/>
          <w:sz w:val="20"/>
          <w:szCs w:val="20"/>
          <w:u w:val="single"/>
        </w:rPr>
        <w:t>The Wall Street Journal</w:t>
      </w:r>
      <w:r>
        <w:rPr>
          <w:rFonts w:cs="Arial" w:ascii="Arial" w:hAnsi="Arial"/>
          <w:sz w:val="20"/>
          <w:szCs w:val="20"/>
        </w:rPr>
        <w:t xml:space="preserve"> under "Money Rates" and (b) with respect to a Defaulting Party, a per annum rate of interest equal to two percent (2%) over such prime lending rate; provided, however, in either case the Interest Rate may never exceed the maximum lawful rate under applicable law.</w:t>
      </w:r>
    </w:p>
    <w:p>
      <w:pPr>
        <w:pStyle w:val="NormalWeb"/>
        <w:rPr/>
      </w:pPr>
      <w:r>
        <w:rPr>
          <w:rFonts w:cs="Arial" w:ascii="Arial" w:hAnsi="Arial"/>
          <w:sz w:val="20"/>
          <w:szCs w:val="20"/>
        </w:rPr>
        <w:t>"</w:t>
      </w:r>
      <w:r>
        <w:rPr>
          <w:rFonts w:cs="Arial" w:ascii="Arial" w:hAnsi="Arial"/>
          <w:i/>
          <w:iCs/>
          <w:sz w:val="20"/>
          <w:szCs w:val="20"/>
          <w:u w:val="single"/>
        </w:rPr>
        <w:t>Market Disruption Event</w:t>
      </w:r>
      <w:r>
        <w:rPr>
          <w:rFonts w:cs="Arial" w:ascii="Arial" w:hAnsi="Arial"/>
          <w:sz w:val="20"/>
          <w:szCs w:val="20"/>
        </w:rPr>
        <w:t xml:space="preserve">" means, with respect to a Floating Price Source, any of the following events (the existence of which shall be determined in good faith by Netco): (a) the failure of the Floating Price Source to announce or publish information necessary for determining the Floating Price; (b) the failure of trading to commence or the permanent discontinuation or material suspension of trading in the relevant futures contract, options contract or commodity on the exchange or market (e.g., NYMEX) acting as the Floating Price Source (the "Exchange"); (c) the temporary or permanent discontinuance or unavailability of any relevant Floating Price Source; (d) the temporary or permanent closing of any Exchange acting as the Floating Price Source; (e) the imposition of trading limits by the Exchange such that there are limits on the range within which the price of the relevant commodity may fluctuate in the prompt month and the closing or settlement price of such commodity on such day is at the upper or lower limit of that range; (f) a material change in the formula for or the method of determining the Floating Price; or (g) a material change in the content, composition or constitution of the relevant commodity.  </w:t>
      </w:r>
    </w:p>
    <w:p>
      <w:pPr>
        <w:pStyle w:val="NormalWeb"/>
        <w:rPr/>
      </w:pPr>
      <w:r>
        <w:rPr>
          <w:rFonts w:cs="Arial" w:ascii="Arial" w:hAnsi="Arial"/>
          <w:sz w:val="20"/>
          <w:szCs w:val="20"/>
        </w:rPr>
        <w:t>"</w:t>
      </w:r>
      <w:r>
        <w:rPr>
          <w:rFonts w:cs="Arial" w:ascii="Arial" w:hAnsi="Arial"/>
          <w:i/>
          <w:iCs/>
          <w:sz w:val="20"/>
          <w:szCs w:val="20"/>
          <w:u w:val="single"/>
        </w:rPr>
        <w:t>Notice of Exercise</w:t>
      </w:r>
      <w:r>
        <w:rPr>
          <w:rFonts w:cs="Arial" w:ascii="Arial" w:hAnsi="Arial"/>
          <w:i/>
          <w:iCs/>
          <w:sz w:val="20"/>
          <w:szCs w:val="20"/>
        </w:rPr>
        <w:t>"</w:t>
      </w:r>
      <w:r>
        <w:rPr>
          <w:rFonts w:cs="Arial" w:ascii="Arial" w:hAnsi="Arial"/>
          <w:sz w:val="20"/>
          <w:szCs w:val="20"/>
        </w:rPr>
        <w:t xml:space="preserve"> means, in respect of an Option (or Swaption), irrevocable notice given by Buyer to Seller (which may be given orally, including by telephone, unless otherwise specified in the Transaction) of exercise of the right(s) granted pursuant to the Option during the hours specified in the Transaction (if no hours are specified, then prior to noon Central time) on any Business Day during the Exercise Period.</w:t>
      </w:r>
    </w:p>
    <w:p>
      <w:pPr>
        <w:pStyle w:val="NormalWeb"/>
        <w:rPr/>
      </w:pPr>
      <w:r>
        <w:rPr>
          <w:rFonts w:cs="Arial" w:ascii="Arial" w:hAnsi="Arial"/>
          <w:sz w:val="20"/>
          <w:szCs w:val="20"/>
        </w:rPr>
        <w:t>"</w:t>
      </w:r>
      <w:r>
        <w:rPr>
          <w:rFonts w:cs="Arial" w:ascii="Arial" w:hAnsi="Arial"/>
          <w:i/>
          <w:iCs/>
          <w:sz w:val="20"/>
          <w:szCs w:val="20"/>
          <w:u w:val="single"/>
        </w:rPr>
        <w:t>Option</w:t>
      </w:r>
      <w:r>
        <w:rPr>
          <w:rFonts w:cs="Arial" w:ascii="Arial" w:hAnsi="Arial"/>
          <w:sz w:val="20"/>
          <w:szCs w:val="20"/>
        </w:rPr>
        <w:t>" means a Transaction that is a Call, Cap, Floor, Put, Swaption or is identified in the relevant Transaction as an Option.</w:t>
      </w:r>
    </w:p>
    <w:p>
      <w:pPr>
        <w:pStyle w:val="NormalWeb"/>
        <w:rPr/>
      </w:pPr>
      <w:r>
        <w:rPr>
          <w:rFonts w:cs="Arial" w:ascii="Arial" w:hAnsi="Arial"/>
          <w:sz w:val="20"/>
          <w:szCs w:val="20"/>
        </w:rPr>
        <w:t>"</w:t>
      </w:r>
      <w:r>
        <w:rPr>
          <w:rFonts w:cs="Arial" w:ascii="Arial" w:hAnsi="Arial"/>
          <w:i/>
          <w:iCs/>
          <w:sz w:val="20"/>
          <w:szCs w:val="20"/>
          <w:u w:val="single"/>
        </w:rPr>
        <w:t>Put</w:t>
      </w:r>
      <w:r>
        <w:rPr>
          <w:rFonts w:cs="Arial" w:ascii="Arial" w:hAnsi="Arial"/>
          <w:sz w:val="20"/>
          <w:szCs w:val="20"/>
        </w:rPr>
        <w:t>" means an Option entitling Buyer to receive after exercise the Cash Settlement Amount on the applicable Payment Date(s) if the Strike Price exceeds the Floating Price.</w:t>
      </w:r>
    </w:p>
    <w:p>
      <w:pPr>
        <w:pStyle w:val="NormalWeb"/>
        <w:rPr/>
      </w:pPr>
      <w:r>
        <w:rPr>
          <w:rFonts w:cs="Arial" w:ascii="Arial" w:hAnsi="Arial"/>
          <w:sz w:val="20"/>
          <w:szCs w:val="20"/>
        </w:rPr>
        <w:t>"</w:t>
      </w:r>
      <w:r>
        <w:rPr>
          <w:rFonts w:cs="Arial" w:ascii="Arial" w:hAnsi="Arial"/>
          <w:i/>
          <w:iCs/>
          <w:sz w:val="20"/>
          <w:szCs w:val="20"/>
          <w:u w:val="single"/>
        </w:rPr>
        <w:t>Swaption</w:t>
      </w:r>
      <w:r>
        <w:rPr>
          <w:rFonts w:cs="Arial" w:ascii="Arial" w:hAnsi="Arial"/>
          <w:i/>
          <w:iCs/>
          <w:sz w:val="20"/>
          <w:szCs w:val="20"/>
        </w:rPr>
        <w:t>"</w:t>
      </w:r>
      <w:r>
        <w:rPr>
          <w:rFonts w:cs="Arial" w:ascii="Arial" w:hAnsi="Arial"/>
          <w:sz w:val="20"/>
          <w:szCs w:val="20"/>
        </w:rPr>
        <w:t xml:space="preserve"> means an Option to cause an Underlying Transaction to become effective.</w:t>
      </w:r>
    </w:p>
    <w:p>
      <w:pPr>
        <w:pStyle w:val="NormalWeb"/>
        <w:rPr/>
      </w:pPr>
      <w:r>
        <w:rPr>
          <w:rFonts w:cs="Arial" w:ascii="Arial" w:hAnsi="Arial"/>
          <w:sz w:val="20"/>
          <w:szCs w:val="20"/>
        </w:rPr>
        <w:t>"</w:t>
      </w:r>
      <w:r>
        <w:rPr>
          <w:rFonts w:cs="Arial" w:ascii="Arial" w:hAnsi="Arial"/>
          <w:i/>
          <w:iCs/>
          <w:sz w:val="20"/>
          <w:szCs w:val="20"/>
          <w:u w:val="single"/>
        </w:rPr>
        <w:t>Tax</w:t>
      </w:r>
      <w:r>
        <w:rPr>
          <w:rFonts w:cs="Arial" w:ascii="Arial" w:hAnsi="Arial"/>
          <w:sz w:val="20"/>
          <w:szCs w:val="20"/>
        </w:rPr>
        <w:t>" means any present or future tax, levy, impost, duty, charge, assessment or fee of any nature (including interest, penalties and additions thereto) that is imposed by any government or other taxing authority in respect of any payment under this Transaction other than a stamp, registration, documentation or similar tax.</w:t>
      </w:r>
    </w:p>
    <w:p>
      <w:pPr>
        <w:pStyle w:val="NormalWeb"/>
        <w:rPr/>
      </w:pPr>
      <w:r>
        <w:rPr>
          <w:rFonts w:cs="Arial" w:ascii="Arial" w:hAnsi="Arial"/>
          <w:sz w:val="20"/>
          <w:szCs w:val="20"/>
        </w:rPr>
        <w:t>"</w:t>
      </w:r>
      <w:r>
        <w:rPr>
          <w:rFonts w:cs="Arial" w:ascii="Arial" w:hAnsi="Arial"/>
          <w:i/>
          <w:iCs/>
          <w:sz w:val="20"/>
          <w:szCs w:val="20"/>
          <w:u w:val="single"/>
        </w:rPr>
        <w:t>Trading Day</w:t>
      </w:r>
      <w:r>
        <w:rPr>
          <w:rFonts w:cs="Arial" w:ascii="Arial" w:hAnsi="Arial"/>
          <w:i/>
          <w:iCs/>
          <w:sz w:val="20"/>
          <w:szCs w:val="20"/>
        </w:rPr>
        <w:t>"</w:t>
      </w:r>
      <w:r>
        <w:rPr>
          <w:rFonts w:cs="Arial" w:ascii="Arial" w:hAnsi="Arial"/>
          <w:sz w:val="20"/>
          <w:szCs w:val="20"/>
        </w:rPr>
        <w:t xml:space="preserve"> means (a) in respect of a Transaction for which a Floating Price is </w:t>
      </w:r>
      <w:r>
        <w:rPr>
          <w:rFonts w:cs="Arial" w:ascii="Arial" w:hAnsi="Arial"/>
          <w:sz w:val="20"/>
        </w:rPr>
        <w:t xml:space="preserve">(or, but for the occurrence of a Market Disruption Event, would have been) </w:t>
      </w:r>
      <w:r>
        <w:rPr>
          <w:rFonts w:cs="Arial" w:ascii="Arial" w:hAnsi="Arial"/>
          <w:sz w:val="20"/>
          <w:szCs w:val="20"/>
        </w:rPr>
        <w:t xml:space="preserve">a price announced or published by an exchange, a day that is a trading day on that exchange or (b) in respect of a Transaction for which a Floating Price is not a price announced or published by an exchange, a day in respect of which the relevant price source published </w:t>
      </w:r>
      <w:r>
        <w:rPr>
          <w:rFonts w:cs="Arial" w:ascii="Arial" w:hAnsi="Arial"/>
          <w:sz w:val="20"/>
        </w:rPr>
        <w:t xml:space="preserve">(or, but for the occurrence of a Market Disruption Event, would have published) </w:t>
      </w:r>
      <w:r>
        <w:rPr>
          <w:rFonts w:cs="Arial" w:ascii="Arial" w:hAnsi="Arial"/>
          <w:sz w:val="20"/>
          <w:szCs w:val="20"/>
        </w:rPr>
        <w:t>the relevant price.</w:t>
      </w:r>
    </w:p>
    <w:p>
      <w:pPr>
        <w:pStyle w:val="NormalWeb"/>
        <w:rPr/>
      </w:pPr>
      <w:r>
        <w:rPr>
          <w:rFonts w:cs="Arial" w:ascii="Arial" w:hAnsi="Arial"/>
          <w:sz w:val="20"/>
          <w:szCs w:val="20"/>
        </w:rPr>
        <w:t>"</w:t>
      </w:r>
      <w:r>
        <w:rPr>
          <w:rFonts w:cs="Arial" w:ascii="Arial" w:hAnsi="Arial"/>
          <w:i/>
          <w:iCs/>
          <w:sz w:val="20"/>
          <w:szCs w:val="20"/>
          <w:u w:val="single"/>
        </w:rPr>
        <w:t>Transaction</w:t>
      </w:r>
      <w:r>
        <w:rPr>
          <w:rFonts w:cs="Arial" w:ascii="Arial" w:hAnsi="Arial"/>
          <w:i/>
          <w:iCs/>
          <w:sz w:val="20"/>
          <w:szCs w:val="20"/>
        </w:rPr>
        <w:t>"</w:t>
      </w:r>
      <w:r>
        <w:rPr>
          <w:rFonts w:cs="Arial" w:ascii="Arial" w:hAnsi="Arial"/>
          <w:sz w:val="20"/>
          <w:szCs w:val="20"/>
        </w:rPr>
        <w:t xml:space="preserve"> means this GTC taken together with the terms set forth on the Website submitted by Counterparty and accepted by Netco.</w:t>
      </w:r>
    </w:p>
    <w:p>
      <w:pPr>
        <w:pStyle w:val="NormalWeb"/>
        <w:rPr/>
      </w:pPr>
      <w:r>
        <w:rPr>
          <w:rFonts w:cs="Arial" w:ascii="Arial" w:hAnsi="Arial"/>
          <w:sz w:val="20"/>
          <w:szCs w:val="20"/>
        </w:rPr>
        <w:t>"</w:t>
      </w:r>
      <w:r>
        <w:rPr>
          <w:rFonts w:cs="Arial" w:ascii="Arial" w:hAnsi="Arial"/>
          <w:i/>
          <w:iCs/>
          <w:sz w:val="20"/>
          <w:szCs w:val="20"/>
          <w:u w:val="single"/>
        </w:rPr>
        <w:t>Underlying Transaction</w:t>
      </w:r>
      <w:r>
        <w:rPr>
          <w:rFonts w:cs="Arial" w:ascii="Arial" w:hAnsi="Arial"/>
          <w:sz w:val="20"/>
          <w:szCs w:val="20"/>
        </w:rPr>
        <w:t>" means in respect of a Swaption, a transaction, the terms of which are identified in the Transaction, which Underlying Transaction will not become effective unless the right to cause that Underlying Transaction to become effective has been timely exercised or deemed exercised.</w:t>
      </w:r>
    </w:p>
    <w:p>
      <w:pPr>
        <w:pStyle w:val="NormalWeb"/>
        <w:rPr/>
      </w:pPr>
      <w:r>
        <w:rPr>
          <w:rFonts w:cs="Arial" w:ascii="Arial" w:hAnsi="Arial"/>
          <w:sz w:val="20"/>
          <w:szCs w:val="20"/>
        </w:rPr>
        <w:t>"</w:t>
      </w:r>
      <w:r>
        <w:rPr>
          <w:rFonts w:cs="Arial" w:ascii="Arial" w:hAnsi="Arial"/>
          <w:i/>
          <w:iCs/>
          <w:sz w:val="20"/>
          <w:szCs w:val="20"/>
          <w:u w:val="single"/>
        </w:rPr>
        <w:t>Website</w:t>
      </w:r>
      <w:r>
        <w:rPr>
          <w:rFonts w:cs="Arial" w:ascii="Arial" w:hAnsi="Arial"/>
          <w:sz w:val="20"/>
          <w:szCs w:val="20"/>
        </w:rPr>
        <w:t>" means the website referencing this GTC.</w:t>
      </w:r>
    </w:p>
    <w:p>
      <w:pPr>
        <w:pStyle w:val="NormalWeb"/>
        <w:spacing w:before="280" w:after="280"/>
        <w:rPr/>
      </w:pPr>
      <w:r>
        <w:rPr>
          <w:rFonts w:cs="Arial" w:ascii="Arial" w:hAnsi="Arial"/>
          <w:sz w:val="20"/>
          <w:szCs w:val="20"/>
        </w:rPr>
        <w:t>"</w:t>
      </w:r>
      <w:r>
        <w:rPr>
          <w:rFonts w:cs="Arial" w:ascii="Arial" w:hAnsi="Arial"/>
          <w:i/>
          <w:iCs/>
          <w:sz w:val="20"/>
          <w:szCs w:val="20"/>
          <w:u w:val="single"/>
        </w:rPr>
        <w:t>Written Confirmation</w:t>
      </w:r>
      <w:r>
        <w:rPr>
          <w:rFonts w:cs="Arial" w:ascii="Arial" w:hAnsi="Arial"/>
          <w:sz w:val="20"/>
          <w:szCs w:val="20"/>
        </w:rPr>
        <w:t>" means, if specified to be applicable in the Transaction or if demanded by Seller (which demand may be given orally, including by telephone, or in writing) a written confirmation delivered promptly by Buyer, confirming the substance of the Notice of Exercise</w:t>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Arial Narrow">
    <w:charset w:val="00" w:characterSet="windows-1252"/>
    <w:family w:val="swiss"/>
    <w:pitch w:val="variable"/>
  </w:font>
</w:fonts>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character" w:styleId="DefaultParagraphFont">
    <w:name w:val="Default Paragraph Font"/>
    <w:qFormat/>
    <w:rPr/>
  </w:style>
  <w:style w:type="character" w:styleId="Hyperlink">
    <w:name w:val="Hyperlink"/>
    <w:basedOn w:val="DefaultParagraphFont"/>
    <w:rPr>
      <w:color w:val="0000FF"/>
      <w:u w:val="single"/>
    </w:rPr>
  </w:style>
  <w:style w:type="character" w:styleId="FollowedHyperlink">
    <w:name w:val="FollowedHyperlink"/>
    <w:basedOn w:val="DefaultParagraphFont"/>
    <w:rPr>
      <w:color w:val="800080"/>
      <w:u w:val="single"/>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jc w:val="both"/>
    </w:pPr>
    <w:rPr>
      <w:rFonts w:ascii="Arial" w:hAnsi="Arial" w:cs="Arial"/>
      <w:color w:val="000000"/>
      <w:sz w:val="20"/>
      <w:szCs w:val="22"/>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NormalWeb">
    <w:name w:val="Normal (Web)"/>
    <w:basedOn w:val="Normal"/>
    <w:qFormat/>
    <w:pPr>
      <w:spacing w:before="280" w:after="280"/>
    </w:pPr>
    <w:rPr/>
  </w:style>
  <w:style w:type="paragraph" w:styleId="BodyText2">
    <w:name w:val="Body Text 2"/>
    <w:basedOn w:val="Normal"/>
    <w:qFormat/>
    <w:pPr>
      <w:jc w:val="both"/>
    </w:pPr>
    <w:rPr>
      <w:rFonts w:ascii="Arial Narrow" w:hAnsi="Arial Narrow" w:cs="Arial Narrow"/>
      <w:color w:val="000000"/>
      <w:sz w:val="18"/>
      <w:szCs w:val="22"/>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44</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2002-01-10T21:13:00Z</dcterms:created>
  <dc:creator>ccarter4</dc:creator>
  <dc:description/>
  <dc:language>en-CA</dc:language>
  <cp:lastModifiedBy>mtaylo1</cp:lastModifiedBy>
  <dcterms:modified xsi:type="dcterms:W3CDTF">2002-01-10T21:13:00Z</dcterms:modified>
  <cp:revision>2</cp:revision>
  <dc:subject/>
  <dc:title>ENA Financial GTC</dc:title>
</cp:coreProperties>
</file>