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July 27, 2000</w:t>
      </w:r>
    </w:p>
    <w:p>
      <w:pPr>
        <w:pStyle w:val="Normal"/>
        <w:rPr/>
      </w:pPr>
      <w:r>
        <w:rPr/>
      </w:r>
    </w:p>
    <w:p>
      <w:pPr>
        <w:pStyle w:val="Heading1"/>
        <w:ind w:hanging="0" w:start="0"/>
        <w:rPr/>
      </w:pPr>
      <w:r>
        <w:rPr/>
        <w:t xml:space="preserve">TERM SHEET PROPOSAL </w:t>
      </w:r>
    </w:p>
    <w:p>
      <w:pPr>
        <w:pStyle w:val="Normal"/>
        <w:jc w:val="center"/>
        <w:rPr>
          <w:b/>
          <w:bCs/>
        </w:rPr>
      </w:pPr>
      <w:r>
        <w:rPr>
          <w:b/>
          <w:bCs/>
        </w:rPr>
        <w:t>FOR FIRM SALE/PURCHASE OF GAS VOLUME</w:t>
      </w:r>
    </w:p>
    <w:p>
      <w:pPr>
        <w:pStyle w:val="Normal"/>
        <w:rPr>
          <w:b/>
          <w:bCs/>
        </w:rPr>
      </w:pPr>
      <w:r>
        <w:rPr>
          <w:b/>
          <w:bCs/>
        </w:rPr>
      </w:r>
    </w:p>
    <w:p>
      <w:pPr>
        <w:pStyle w:val="BodyText"/>
        <w:rPr/>
      </w:pPr>
      <w:r>
        <w:rPr/>
        <w:tab/>
        <w:t>This “Term Sheet Proposal” contains the general terms for a proposed agreement between Producer X (“Seller”) and Enron North America Corp. (“Buyer”) regarding the sale and purchase of natural gas:</w:t>
      </w:r>
    </w:p>
    <w:p>
      <w:pPr>
        <w:pStyle w:val="BodyText"/>
        <w:rPr/>
      </w:pPr>
      <w:r>
        <w:rPr/>
        <w:tab/>
        <w:tab/>
        <w:tab/>
        <w:tab/>
      </w:r>
    </w:p>
    <w:p>
      <w:pPr>
        <w:pStyle w:val="BodyText"/>
        <w:ind w:start="4320" w:end="0"/>
        <w:rPr/>
      </w:pPr>
      <w:r>
        <w:rPr/>
      </w:r>
    </w:p>
    <w:p>
      <w:pPr>
        <w:pStyle w:val="BodyText"/>
        <w:numPr>
          <w:ilvl w:val="0"/>
          <w:numId w:val="4"/>
        </w:numPr>
        <w:ind w:hanging="720" w:start="720" w:end="0"/>
        <w:rPr>
          <w:b/>
          <w:bCs/>
        </w:rPr>
      </w:pPr>
      <w:r>
        <w:rPr>
          <w:b/>
          <w:bCs/>
        </w:rPr>
        <w:t>MASTER AGREEMENT</w:t>
      </w:r>
    </w:p>
    <w:p>
      <w:pPr>
        <w:pStyle w:val="BodyText"/>
        <w:ind w:start="-90" w:end="0"/>
        <w:rPr>
          <w:b/>
          <w:bCs/>
        </w:rPr>
      </w:pPr>
      <w:r>
        <w:rPr>
          <w:b/>
          <w:bCs/>
        </w:rPr>
      </w:r>
    </w:p>
    <w:p>
      <w:pPr>
        <w:pStyle w:val="BodyText"/>
        <w:rPr/>
      </w:pPr>
      <w:r>
        <w:rPr/>
        <w:t>This Term Sheet Proposal is not inclusive of all the terms and conditions under which Buyer would transact the general terms contained herein.  Any definitive agreement between Buyer and Seller will be subject to all the terms and conditions contained in an Enfolio</w:t>
      </w:r>
      <w:r>
        <w:rPr>
          <w:rFonts w:eastAsia="Symbol" w:cs="Symbol" w:ascii="Symbol" w:hAnsi="Symbol"/>
        </w:rPr>
        <w:sym w:font="Symbol" w:char="f0e2"/>
      </w:r>
      <w:r>
        <w:rPr/>
        <w:t xml:space="preserve"> Master Firm Purchase/Sale Agreement to be executed between Buyer and Seller including any credit requirements of Buyer.</w:t>
      </w:r>
    </w:p>
    <w:p>
      <w:pPr>
        <w:pStyle w:val="BodyText"/>
        <w:ind w:start="-90" w:end="0"/>
        <w:rPr/>
      </w:pPr>
      <w:r>
        <w:rPr/>
      </w:r>
    </w:p>
    <w:p>
      <w:pPr>
        <w:pStyle w:val="BodyText"/>
        <w:numPr>
          <w:ilvl w:val="0"/>
          <w:numId w:val="4"/>
        </w:numPr>
        <w:rPr>
          <w:b/>
          <w:bCs/>
        </w:rPr>
      </w:pPr>
      <w:r>
        <w:rPr>
          <w:b/>
          <w:bCs/>
        </w:rPr>
        <w:t>TRANSPORTATION AND REGULATORY REQUIREMENTS:</w:t>
      </w:r>
    </w:p>
    <w:p>
      <w:pPr>
        <w:pStyle w:val="BodyText"/>
        <w:ind w:start="-90" w:end="0"/>
        <w:rPr>
          <w:b/>
          <w:bCs/>
        </w:rPr>
      </w:pPr>
      <w:r>
        <w:rPr>
          <w:b/>
          <w:bCs/>
        </w:rPr>
      </w:r>
    </w:p>
    <w:p>
      <w:pPr>
        <w:pStyle w:val="BodyText"/>
        <w:rPr/>
      </w:pPr>
      <w:r>
        <w:rPr/>
        <w:t>(a)</w:t>
        <w:tab/>
        <w:t>Buyer shall use reasonable efforts to obtain firm transportation  necessary to transport  the MaxDQ  on the expansion facilities of Trailblazer Pipeline Company (“Trailblazer”), as such expansion is defined under that certain Precedent Agreement Open Season between Buyer and Trailblazer dated June 23, 2000 (the “Precedent Agreement”) for firm delivery service to Gage, at the  interconnect  of Trailblazer with the facilities of Natural Gas Pipeline Co. of America (NGPL), for the Period of Delivery (collectively the “Transportation Requirements”).</w:t>
      </w:r>
    </w:p>
    <w:p>
      <w:pPr>
        <w:pStyle w:val="BodyText"/>
        <w:rPr/>
      </w:pPr>
      <w:r>
        <w:rPr/>
      </w:r>
    </w:p>
    <w:p>
      <w:pPr>
        <w:pStyle w:val="BodyText"/>
        <w:rPr/>
      </w:pPr>
      <w:r>
        <w:rPr/>
        <w:t>(b)</w:t>
        <w:tab/>
        <w:t>Seller shall cooperate with Buyer in obtaining the Transportation Requirements.  Buyer shall inform Seller forthwith in writing upon obtaining  the Transportation Requirements.  If Buyer does not obtain the Transportation Requirements under the Precedent Agreement and any associated Trailblazer firm transportation contracts, then Buyer shall provide Seller written notice of such failure to obtain the Transportation Requirements and upon such notice either Buyer or Seller may terminate the Transaction described in this Term Sheet Proposal by giving 10 days prior written notice thereof to the other Party.</w:t>
      </w:r>
    </w:p>
    <w:p>
      <w:pPr>
        <w:pStyle w:val="BodyText"/>
        <w:ind w:start="720" w:end="0"/>
        <w:jc w:val="start"/>
        <w:rPr/>
      </w:pPr>
      <w:r>
        <w:rPr/>
        <w:tab/>
        <w:tab/>
        <w:tab/>
        <w:tab/>
        <w:t xml:space="preserve"> </w:t>
      </w:r>
    </w:p>
    <w:p>
      <w:pPr>
        <w:pStyle w:val="BodyTextIndent"/>
        <w:ind w:firstLine="90" w:start="-90" w:end="0"/>
        <w:rPr/>
      </w:pPr>
      <w:r>
        <w:rPr>
          <w:b/>
          <w:bCs/>
        </w:rPr>
        <w:t xml:space="preserve">III.  </w:t>
        <w:tab/>
        <w:t>MAXIMUM DAILY QUANTITY (“MaxDQ”):</w:t>
      </w:r>
      <w:r>
        <w:rPr/>
        <w:tab/>
      </w:r>
    </w:p>
    <w:p>
      <w:pPr>
        <w:pStyle w:val="BodyTextIndent"/>
        <w:ind w:firstLine="90" w:start="-90" w:end="0"/>
        <w:rPr/>
      </w:pPr>
      <w:r>
        <w:rPr/>
      </w:r>
    </w:p>
    <w:p>
      <w:pPr>
        <w:pStyle w:val="BodyTextIndent"/>
        <w:ind w:firstLine="90" w:start="-90" w:end="0"/>
        <w:rPr/>
      </w:pPr>
      <w:r>
        <w:rPr/>
        <w:t>_____._ MMBtu’s per Day, plus Fuel Gas (defined below).</w:t>
        <w:tab/>
        <w:tab/>
        <w:t xml:space="preserve">  </w:t>
      </w:r>
    </w:p>
    <w:p>
      <w:pPr>
        <w:pStyle w:val="BodyTextIndent"/>
        <w:ind w:hanging="0" w:start="0" w:end="0"/>
        <w:rPr/>
      </w:pPr>
      <w:r>
        <w:rPr/>
      </w:r>
    </w:p>
    <w:p>
      <w:pPr>
        <w:pStyle w:val="Normal"/>
        <w:jc w:val="both"/>
        <w:rPr/>
      </w:pPr>
      <w:r>
        <w:rPr/>
      </w:r>
    </w:p>
    <w:p>
      <w:pPr>
        <w:pStyle w:val="Normal"/>
        <w:numPr>
          <w:ilvl w:val="0"/>
          <w:numId w:val="3"/>
        </w:numPr>
        <w:tabs>
          <w:tab w:val="left" w:pos="720" w:leader="none"/>
        </w:tabs>
        <w:ind w:hanging="630" w:start="630" w:end="0"/>
        <w:jc w:val="both"/>
        <w:rPr>
          <w:b/>
          <w:bCs/>
        </w:rPr>
      </w:pPr>
      <w:r>
        <w:rPr>
          <w:b/>
          <w:bCs/>
        </w:rPr>
        <w:t xml:space="preserve">SELLER’S DEFAULT - LIQUIDATED DAMAGES:       </w:t>
      </w:r>
    </w:p>
    <w:p>
      <w:pPr>
        <w:pStyle w:val="Normal"/>
        <w:ind w:start="-90" w:end="0"/>
        <w:jc w:val="both"/>
        <w:rPr>
          <w:b/>
          <w:bCs/>
        </w:rPr>
      </w:pPr>
      <w:r>
        <w:rPr>
          <w:b/>
          <w:bCs/>
        </w:rPr>
      </w:r>
    </w:p>
    <w:p>
      <w:pPr>
        <w:pStyle w:val="Normal"/>
        <w:jc w:val="both"/>
        <w:rPr/>
      </w:pPr>
      <w:r>
        <w:rPr/>
        <w:t xml:space="preserve">If on any Gas Day Seller fails to Schedule the MaxDQ (the “Buyer’s Requested Quantity”), then such occurrence shall constitute a "Seller's Deficiency Default" and "Seller's Deficiency Quantity"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u w:val="single"/>
        </w:rPr>
        <w:t>plus</w:t>
      </w:r>
      <w:r>
        <w:rPr/>
        <w:t xml:space="preserve"> (ii) liquidated damages equal to $0.15 multiplied by Seller's Deficiency Quantity to cover Buyer's administrative and operational costs.  During any Month in which Seller's nonperformance continues for a period of three consecutive Gas Days Buyer may elect upon notice to Seller, without liability, not to recommence Scheduling Gas hereunder for the remainder of such Month, but for no longer period.  Payment to Buyer shall be made on the 25th Day of the Month in which Seller receives Buyer's statement for same.   </w:t>
      </w:r>
    </w:p>
    <w:p>
      <w:pPr>
        <w:pStyle w:val="BodyText"/>
        <w:rPr/>
      </w:pPr>
      <w:r>
        <w:rPr/>
      </w:r>
    </w:p>
    <w:p>
      <w:pPr>
        <w:pStyle w:val="BodyText"/>
        <w:numPr>
          <w:ilvl w:val="0"/>
          <w:numId w:val="3"/>
        </w:numPr>
        <w:tabs>
          <w:tab w:val="left" w:pos="720" w:leader="none"/>
        </w:tabs>
        <w:rPr>
          <w:b/>
          <w:bCs/>
        </w:rPr>
      </w:pPr>
      <w:r>
        <w:rPr>
          <w:b/>
          <w:bCs/>
        </w:rPr>
        <w:t xml:space="preserve">DELIVERY POINT:        </w:t>
      </w:r>
    </w:p>
    <w:p>
      <w:pPr>
        <w:pStyle w:val="BodyText"/>
        <w:ind w:start="-90" w:end="0"/>
        <w:rPr>
          <w:b/>
          <w:bCs/>
        </w:rPr>
      </w:pPr>
      <w:r>
        <w:rPr>
          <w:b/>
          <w:bCs/>
        </w:rPr>
      </w:r>
    </w:p>
    <w:p>
      <w:pPr>
        <w:pStyle w:val="BodyText"/>
        <w:ind w:start="-90" w:end="0"/>
        <w:rPr/>
      </w:pPr>
      <w:r>
        <w:rPr/>
        <w:t>Cheyenne</w:t>
      </w:r>
    </w:p>
    <w:p>
      <w:pPr>
        <w:pStyle w:val="BodyText"/>
        <w:rPr/>
      </w:pPr>
      <w:r>
        <w:rPr/>
      </w:r>
    </w:p>
    <w:p>
      <w:pPr>
        <w:pStyle w:val="BodyText"/>
        <w:rPr/>
      </w:pPr>
      <w:r>
        <w:rPr/>
      </w:r>
    </w:p>
    <w:p>
      <w:pPr>
        <w:pStyle w:val="BodyText"/>
        <w:numPr>
          <w:ilvl w:val="0"/>
          <w:numId w:val="3"/>
        </w:numPr>
        <w:tabs>
          <w:tab w:val="left" w:pos="720" w:leader="none"/>
        </w:tabs>
        <w:rPr>
          <w:b/>
          <w:bCs/>
        </w:rPr>
      </w:pPr>
      <w:r>
        <w:rPr>
          <w:b/>
          <w:bCs/>
        </w:rPr>
        <w:t>CONTRACT PRICE:</w:t>
      </w:r>
    </w:p>
    <w:p>
      <w:pPr>
        <w:pStyle w:val="BodyText"/>
        <w:ind w:start="-90" w:end="0"/>
        <w:rPr/>
      </w:pPr>
      <w:r>
        <w:rPr/>
        <w:t xml:space="preserve">        </w:t>
      </w:r>
    </w:p>
    <w:p>
      <w:pPr>
        <w:pStyle w:val="BodyText"/>
        <w:ind w:start="-90" w:end="0"/>
        <w:rPr/>
      </w:pPr>
      <w:r>
        <w:rPr/>
        <w:t xml:space="preserve">Except for Fuel Gas, the Contract Price, for each delivery Month, shall   be a price per MMBtu equal to:  the NGPL-OK Index (defined below), </w:t>
      </w:r>
      <w:r>
        <w:rPr>
          <w:u w:val="single"/>
        </w:rPr>
        <w:t>minus</w:t>
      </w:r>
      <w:r>
        <w:rPr/>
        <w:t xml:space="preserve"> the Actual Tariff (defined below), </w:t>
      </w:r>
      <w:r>
        <w:rPr>
          <w:u w:val="single"/>
        </w:rPr>
        <w:t xml:space="preserve">minus </w:t>
      </w:r>
      <w:r>
        <w:rPr/>
        <w:t>$_____ per MMBtu, where:</w:t>
      </w:r>
    </w:p>
    <w:p>
      <w:pPr>
        <w:pStyle w:val="BodyText"/>
        <w:ind w:start="-90" w:end="0"/>
        <w:rPr/>
      </w:pPr>
      <w:r>
        <w:rPr/>
      </w:r>
    </w:p>
    <w:p>
      <w:pPr>
        <w:pStyle w:val="BodyText"/>
        <w:ind w:start="720" w:end="0"/>
        <w:rPr/>
      </w:pPr>
      <w:r>
        <w:rPr/>
        <w:t>“</w:t>
      </w:r>
      <w:r>
        <w:rPr/>
        <w:t xml:space="preserve">NGPL-OK” means the price for natural gas for the applicable delivery Month in U.S. dollars per MMBtu published in the first issue in that Month by </w:t>
      </w:r>
      <w:r>
        <w:rPr>
          <w:i/>
          <w:u w:val="single"/>
        </w:rPr>
        <w:t xml:space="preserve">Inside  F.E.R.C.’s Gas Market Report </w:t>
      </w:r>
      <w:r>
        <w:rPr/>
        <w:t>, in the table entitled “Prices of Spot Gas Delivered to Pipelines”, in the column for “Index” in the row for “NGPL-OK”.</w:t>
      </w:r>
    </w:p>
    <w:p>
      <w:pPr>
        <w:pStyle w:val="BodyText"/>
        <w:ind w:firstLine="720" w:end="0"/>
        <w:rPr/>
      </w:pPr>
      <w:r>
        <w:rPr/>
        <w:t>“</w:t>
      </w:r>
      <w:r>
        <w:rPr/>
        <w:t>FERC” means the Federal Energy Regulatory Commission of the United States.</w:t>
      </w:r>
    </w:p>
    <w:p>
      <w:pPr>
        <w:pStyle w:val="BodyText"/>
        <w:ind w:start="720" w:end="0"/>
        <w:rPr/>
      </w:pPr>
      <w:r>
        <w:rPr/>
        <w:t>“</w:t>
      </w:r>
      <w:r>
        <w:rPr/>
        <w:t>Actual Tariff” means the FERC-approved tariff rate schedule for the TrailBlazer expansion, which expansion is the subject of the Precedent Agreement, effective for the delivery Month, for firm transportation service from Cheyenne to Gage, invoiced by Trailblazer, relative to the MaxDQ.  The Actual Tariff shall include, but not be limited to, demand charges, commodity charges, and all other applicable charges.</w:t>
      </w:r>
    </w:p>
    <w:p>
      <w:pPr>
        <w:pStyle w:val="BodyText"/>
        <w:ind w:start="2880" w:end="0"/>
        <w:rPr/>
      </w:pPr>
      <w:r>
        <w:rPr/>
      </w:r>
    </w:p>
    <w:p>
      <w:pPr>
        <w:pStyle w:val="BodyText"/>
        <w:rPr/>
      </w:pPr>
      <w:r>
        <w:rPr/>
        <w:t>During all periods of Force Majeure hereunder, Seller shall reimburse Buyer for the Actual Tariff as invoiced by Trailblazer.</w:t>
      </w:r>
    </w:p>
    <w:p>
      <w:pPr>
        <w:pStyle w:val="BodyText"/>
        <w:ind w:start="2880" w:end="0"/>
        <w:rPr/>
      </w:pPr>
      <w:r>
        <w:rPr/>
        <w:tab/>
        <w:t xml:space="preserve"> </w:t>
      </w:r>
    </w:p>
    <w:p>
      <w:pPr>
        <w:pStyle w:val="BodyText"/>
        <w:rPr>
          <w:b/>
          <w:bCs/>
        </w:rPr>
      </w:pPr>
      <w:r>
        <w:rPr>
          <w:b/>
          <w:bCs/>
        </w:rPr>
        <w:t xml:space="preserve">VII. </w:t>
        <w:tab/>
        <w:t>PERIOD OF DELIVERY:</w:t>
        <w:tab/>
      </w:r>
    </w:p>
    <w:p>
      <w:pPr>
        <w:pStyle w:val="BodyText"/>
        <w:rPr>
          <w:b/>
          <w:bCs/>
        </w:rPr>
      </w:pPr>
      <w:r>
        <w:rPr>
          <w:b/>
          <w:bCs/>
        </w:rPr>
      </w:r>
    </w:p>
    <w:p>
      <w:pPr>
        <w:pStyle w:val="BodyText"/>
        <w:rPr/>
      </w:pPr>
      <w:r>
        <w:rPr/>
        <w:t>The Period of Delivery shall commence on the 1</w:t>
      </w:r>
      <w:r>
        <w:rPr>
          <w:vertAlign w:val="superscript"/>
        </w:rPr>
        <w:t>st</w:t>
      </w:r>
      <w:r>
        <w:rPr/>
        <w:t xml:space="preserve"> day of the month following the in-service date of the Trailblazer expansion under the Precedent Agreement and ending on the tenth anniversary thereof.</w:t>
      </w:r>
    </w:p>
    <w:p>
      <w:pPr>
        <w:pStyle w:val="BodyText"/>
        <w:ind w:start="720" w:end="0"/>
        <w:rPr/>
      </w:pPr>
      <w:r>
        <w:rPr/>
      </w:r>
    </w:p>
    <w:p>
      <w:pPr>
        <w:pStyle w:val="BodyText"/>
        <w:numPr>
          <w:ilvl w:val="0"/>
          <w:numId w:val="2"/>
        </w:numPr>
        <w:tabs>
          <w:tab w:val="left" w:pos="720" w:leader="none"/>
        </w:tabs>
        <w:ind w:hanging="1440" w:start="1440" w:end="0"/>
        <w:rPr>
          <w:b/>
          <w:bCs/>
        </w:rPr>
      </w:pPr>
      <w:r>
        <w:rPr>
          <w:b/>
          <w:bCs/>
        </w:rPr>
        <w:t xml:space="preserve">FUEL GAS:             </w:t>
      </w:r>
    </w:p>
    <w:p>
      <w:pPr>
        <w:pStyle w:val="BodyText"/>
        <w:ind w:start="720" w:end="0"/>
        <w:rPr>
          <w:b/>
          <w:bCs/>
        </w:rPr>
      </w:pPr>
      <w:r>
        <w:rPr>
          <w:b/>
          <w:bCs/>
        </w:rPr>
      </w:r>
    </w:p>
    <w:p>
      <w:pPr>
        <w:pStyle w:val="BodyText"/>
        <w:rPr/>
      </w:pPr>
      <w:r>
        <w:rPr/>
        <w:t>(a)</w:t>
        <w:tab/>
        <w:t>Each Day, Seller shall deliver as part of the MaxDQ all Gas required as fuel by Trailblazer to transport the MaxDQ from Cheyenne to the interconnect between Trailblazer and NGPL at Gage (“Fuel Gas”).  Seller shall be obligated to deliver the Fuel Gas to the Delivery Point as part of the MaxDQ, but no payment shall be made by Buyer to Seller for such Fuel Gas.</w:t>
      </w:r>
    </w:p>
    <w:p>
      <w:pPr>
        <w:pStyle w:val="BodyText"/>
        <w:rPr/>
      </w:pPr>
      <w:r>
        <w:rPr/>
      </w:r>
    </w:p>
    <w:p>
      <w:pPr>
        <w:pStyle w:val="BodyText"/>
        <w:rPr/>
      </w:pPr>
      <w:r>
        <w:rPr/>
        <w:t>(b)</w:t>
        <w:tab/>
        <w:t>If on any Day, Seller fails to deliver the entire MaxDQ, the first MMBtu’s delivered on that Day shall be deemed to be the fuel required by Trailblazer based on actual volumes delivered by Seller on such Day .</w:t>
      </w:r>
    </w:p>
    <w:p>
      <w:pPr>
        <w:pStyle w:val="BodyText"/>
        <w:ind w:firstLine="720" w:start="2160" w:end="0"/>
        <w:rPr/>
      </w:pPr>
      <w:r>
        <w:rPr/>
      </w:r>
    </w:p>
    <w:p>
      <w:pPr>
        <w:pStyle w:val="BodyText"/>
        <w:tabs>
          <w:tab w:val="left" w:pos="720" w:leader="none"/>
        </w:tabs>
        <w:ind w:hanging="1695" w:start="1695" w:end="0"/>
        <w:rPr>
          <w:b/>
          <w:bCs/>
        </w:rPr>
      </w:pPr>
      <w:r>
        <w:rPr>
          <w:b/>
          <w:bCs/>
        </w:rPr>
        <w:t xml:space="preserve">IX. </w:t>
        <w:tab/>
        <w:t>OTHER:</w:t>
        <w:tab/>
      </w:r>
    </w:p>
    <w:p>
      <w:pPr>
        <w:pStyle w:val="BodyText"/>
        <w:ind w:hanging="1695" w:start="1695" w:end="0"/>
        <w:rPr>
          <w:b/>
          <w:bCs/>
        </w:rPr>
      </w:pPr>
      <w:r>
        <w:rPr>
          <w:b/>
          <w:bCs/>
        </w:rPr>
      </w:r>
    </w:p>
    <w:p>
      <w:pPr>
        <w:pStyle w:val="BodyText"/>
        <w:rPr/>
      </w:pPr>
      <w:r>
        <w:rPr/>
        <w:t>If at any time during the Period of Delivery or during the five-year period immediately following the expiration of the Period of Delivery the FERC-approved tariff for Trailblazer is retroactively adjusted with respect to the Period of Delivery or any part thereof, Seller promptly shall retroactively adjust and pay all amounts payable hereunder based on the adjusted tariff with respect to the affected portion of the Period of Delivery.</w:t>
      </w:r>
    </w:p>
    <w:p>
      <w:pPr>
        <w:pStyle w:val="BodyText"/>
        <w:rPr>
          <w:b/>
          <w:bCs/>
        </w:rPr>
      </w:pPr>
      <w:r>
        <w:rPr>
          <w:b/>
          <w:bCs/>
        </w:rPr>
      </w:r>
    </w:p>
    <w:p>
      <w:pPr>
        <w:pStyle w:val="BodyText"/>
        <w:rPr>
          <w:b/>
          <w:bCs/>
        </w:rPr>
      </w:pPr>
      <w:r>
        <w:rPr>
          <w:b/>
          <w:bCs/>
        </w:rPr>
        <w:t>X.</w:t>
        <w:tab/>
        <w:t>NONBINDING TERM SHEET:</w:t>
      </w:r>
    </w:p>
    <w:p>
      <w:pPr>
        <w:pStyle w:val="BodyText"/>
        <w:rPr/>
      </w:pPr>
      <w:r>
        <w:rPr/>
      </w:r>
    </w:p>
    <w:p>
      <w:pPr>
        <w:pStyle w:val="BodyText2"/>
        <w:jc w:val="both"/>
        <w:rPr/>
      </w:pPr>
      <w:r>
        <w:rPr/>
        <w:t>THIS TERM SHEET PROPOSAL IS FOR DISCUSSION PURPOSES ONLY TO FACILITATE THE NEGOTIATION PREPARATION AND EXECUTION OF A DEFINITIVE AGREEMENT.  THIS TERM SHEET PROPOSAL IS NOT AN OFFER OR COMMITMENT BY BUYER OR ANY AFFILIATE OF ENRON NORTH AMERICA CORP.   ALL PRICES AND TERMS ARE SUBJECT TO CHANGE UNTIL SUCH TIME WHEN A DEFINITIVE AGREEMENT MAY BE SIGNED.  THIS TERM SHEET PROPOSAL IS NOT INTENDED TO CREATE A BINDING OR ENFORCABLE AGREEMENT OR CONTRACT OR TO BE COMPLETE AND INCLUSIVE OF ALL THE TERMS OF THE SUBJECT TRANSACTION.  FURTHERMORE, THIS TERM SHEET PROPOSAL IS NOT A COMMITMENT OR AGREEMENT TO ENTER INTO A BINDING AGREEMENT OR CONTRACT IN THE FUTURE.</w:t>
      </w:r>
    </w:p>
    <w:p>
      <w:pPr>
        <w:pStyle w:val="BodyText2"/>
        <w:jc w:val="both"/>
        <w:rPr/>
      </w:pPr>
      <w:r>
        <w:rPr/>
      </w:r>
    </w:p>
    <w:p>
      <w:pPr>
        <w:pStyle w:val="BodyText2"/>
        <w:jc w:val="both"/>
        <w:rPr/>
      </w:pPr>
      <w:r>
        <w:rPr/>
        <w:tab/>
        <w:tab/>
        <w:tab/>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upperRoman"/>
      <w:lvlText w:val="%1."/>
      <w:lvlJc w:val="start"/>
      <w:pPr>
        <w:tabs>
          <w:tab w:val="num" w:pos="720"/>
        </w:tabs>
        <w:ind w:start="1440" w:hanging="720"/>
      </w:pPr>
      <w:rPr/>
    </w:lvl>
  </w:abstractNum>
  <w:abstractNum w:abstractNumId="3">
    <w:lvl w:ilvl="0">
      <w:start w:val="4"/>
      <w:numFmt w:val="upperRoman"/>
      <w:lvlText w:val="%1."/>
      <w:lvlJc w:val="start"/>
      <w:pPr>
        <w:tabs>
          <w:tab w:val="num" w:pos="720"/>
        </w:tabs>
        <w:ind w:start="630" w:hanging="720"/>
      </w:pPr>
      <w:rPr/>
    </w:lvl>
  </w:abstractNum>
  <w:abstractNum w:abstractNumId="4">
    <w:lvl w:ilvl="0">
      <w:start w:val="1"/>
      <w:numFmt w:val="upperRoman"/>
      <w:lvlText w:val="%1."/>
      <w:lvlJc w:val="start"/>
      <w:pPr>
        <w:tabs>
          <w:tab w:val="num" w:pos="720"/>
        </w:tabs>
        <w:ind w:start="720" w:hanging="81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720" w:end="0"/>
      <w:jc w:val="both"/>
    </w:pPr>
    <w:rPr/>
  </w:style>
  <w:style w:type="paragraph" w:styleId="BodyText2">
    <w:name w:val="Body Text 2"/>
    <w:basedOn w:val="Normal"/>
    <w:qFormat/>
    <w:pPr/>
    <w:rPr>
      <w:b/>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2000-07-26T16:24:00Z</dcterms:created>
  <dc:creator>Heidi DuBose</dc:creator>
  <dc:description/>
  <dc:language>en-CA</dc:language>
  <cp:lastModifiedBy>gnemec</cp:lastModifiedBy>
  <cp:lastPrinted>2000-07-26T17:01:00Z</cp:lastPrinted>
  <dcterms:modified xsi:type="dcterms:W3CDTF">2000-07-26T19:40:00Z</dcterms:modified>
  <cp:revision>25</cp:revision>
  <dc:subject/>
  <dc:title>July 27, 2000</dc:title>
</cp:coreProperties>
</file>