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MASTER NETTING AGREEMENT</w:t>
      </w:r>
    </w:p>
    <w:p>
      <w:pPr>
        <w:pStyle w:val="Normal"/>
        <w:jc w:val="both"/>
        <w:rPr>
          <w:b/>
          <w:bCs/>
          <w:sz w:val="22"/>
          <w:szCs w:val="22"/>
        </w:rPr>
      </w:pPr>
      <w:r>
        <w:rPr>
          <w:b/>
          <w:bCs/>
          <w:sz w:val="22"/>
          <w:szCs w:val="22"/>
        </w:rPr>
      </w:r>
    </w:p>
    <w:p>
      <w:pPr>
        <w:pStyle w:val="Normal"/>
        <w:jc w:val="both"/>
        <w:rPr>
          <w:sz w:val="22"/>
          <w:szCs w:val="22"/>
        </w:rPr>
      </w:pPr>
      <w:r>
        <w:rPr>
          <w:sz w:val="22"/>
          <w:szCs w:val="22"/>
        </w:rPr>
      </w:r>
    </w:p>
    <w:p>
      <w:pPr>
        <w:pStyle w:val="Normal"/>
        <w:jc w:val="both"/>
        <w:rPr>
          <w:sz w:val="22"/>
          <w:szCs w:val="22"/>
        </w:rPr>
      </w:pPr>
      <w:r>
        <w:rPr>
          <w:sz w:val="22"/>
          <w:szCs w:val="22"/>
        </w:rPr>
        <w:tab/>
        <w:t>This Master Netting Agreement (the “Agreement”) is made and entered into effective as of ____________, 199_ by and between Canadian Natural Resources (“Counterparty”), and Enron Capital &amp; Trade Resources Canada Corp. (“ECT”).</w:t>
      </w:r>
    </w:p>
    <w:p>
      <w:pPr>
        <w:pStyle w:val="Normal"/>
        <w:jc w:val="both"/>
        <w:rPr>
          <w:sz w:val="22"/>
          <w:szCs w:val="22"/>
        </w:rPr>
      </w:pPr>
      <w:r>
        <w:rPr>
          <w:sz w:val="22"/>
          <w:szCs w:val="22"/>
        </w:rPr>
      </w:r>
    </w:p>
    <w:p>
      <w:pPr>
        <w:pStyle w:val="Normal"/>
        <w:jc w:val="both"/>
        <w:rPr/>
      </w:pPr>
      <w:r>
        <w:rPr>
          <w:sz w:val="22"/>
          <w:szCs w:val="22"/>
        </w:rPr>
        <w:tab/>
      </w:r>
      <w:r>
        <w:rPr>
          <w:b/>
          <w:bCs/>
          <w:sz w:val="22"/>
          <w:szCs w:val="22"/>
        </w:rPr>
        <w:t>WHEREAS</w:t>
      </w:r>
      <w:r>
        <w:rPr>
          <w:sz w:val="22"/>
          <w:szCs w:val="22"/>
        </w:rPr>
        <w:t>, Counterparty and ECT entered into that certain Master Agreement dated as of October 10, 1995 (the “ISDA Master”);</w:t>
      </w:r>
    </w:p>
    <w:p>
      <w:pPr>
        <w:pStyle w:val="Normal"/>
        <w:jc w:val="both"/>
        <w:rPr>
          <w:sz w:val="22"/>
          <w:szCs w:val="22"/>
        </w:rPr>
      </w:pPr>
      <w:r>
        <w:rPr>
          <w:sz w:val="22"/>
          <w:szCs w:val="22"/>
        </w:rPr>
      </w:r>
    </w:p>
    <w:p>
      <w:pPr>
        <w:pStyle w:val="Normal"/>
        <w:jc w:val="both"/>
        <w:rPr/>
      </w:pPr>
      <w:r>
        <w:rPr>
          <w:sz w:val="22"/>
          <w:szCs w:val="22"/>
        </w:rPr>
        <w:tab/>
      </w:r>
      <w:r>
        <w:rPr>
          <w:b/>
          <w:bCs/>
          <w:sz w:val="22"/>
          <w:szCs w:val="22"/>
        </w:rPr>
        <w:t>AND WHEREAS,</w:t>
      </w:r>
      <w:r>
        <w:rPr>
          <w:sz w:val="22"/>
          <w:szCs w:val="22"/>
        </w:rPr>
        <w:t xml:space="preserve"> Counterparty (as successor in interest to Canadian Natural Resources Ltd.) and ECT (as successor by name change to Enron Gas Marketing Canada Inc.) entered into that certain Master Firm Gas Purchase/Sale Agreement dated effective the 26</w:t>
      </w:r>
      <w:r>
        <w:rPr>
          <w:sz w:val="22"/>
          <w:szCs w:val="22"/>
          <w:vertAlign w:val="superscript"/>
        </w:rPr>
        <w:t>th</w:t>
      </w:r>
      <w:r>
        <w:rPr>
          <w:sz w:val="22"/>
          <w:szCs w:val="22"/>
        </w:rPr>
        <w:t xml:space="preserve"> day of August, 1993 (the “Gas Master”) (the ISDA Master and the Gas Master are herein referred to collectively as the “Master Agreements”);</w:t>
      </w:r>
    </w:p>
    <w:p>
      <w:pPr>
        <w:pStyle w:val="Normal"/>
        <w:jc w:val="both"/>
        <w:rPr>
          <w:sz w:val="22"/>
          <w:szCs w:val="22"/>
        </w:rPr>
      </w:pPr>
      <w:r>
        <w:rPr>
          <w:sz w:val="22"/>
          <w:szCs w:val="22"/>
        </w:rPr>
      </w:r>
    </w:p>
    <w:p>
      <w:pPr>
        <w:pStyle w:val="Normal"/>
        <w:jc w:val="both"/>
        <w:rPr/>
      </w:pPr>
      <w:r>
        <w:rPr>
          <w:sz w:val="22"/>
          <w:szCs w:val="22"/>
        </w:rPr>
        <w:tab/>
      </w:r>
      <w:r>
        <w:rPr>
          <w:b/>
          <w:bCs/>
          <w:sz w:val="22"/>
          <w:szCs w:val="22"/>
        </w:rPr>
        <w:t>AND WHEREAS,</w:t>
      </w:r>
      <w:r>
        <w:rPr>
          <w:sz w:val="22"/>
          <w:szCs w:val="22"/>
        </w:rPr>
        <w:t xml:space="preserve"> the parties hereto desire to provide for offsetting payment netting and the contractual right of set-off of obligations owed by one party under one of the Master Agreements against amounts owed to that party under the other Master Agreement in the circumstances herein described;</w:t>
      </w:r>
    </w:p>
    <w:p>
      <w:pPr>
        <w:pStyle w:val="Normal"/>
        <w:jc w:val="both"/>
        <w:rPr>
          <w:sz w:val="22"/>
          <w:szCs w:val="22"/>
        </w:rPr>
      </w:pPr>
      <w:r>
        <w:rPr>
          <w:sz w:val="22"/>
          <w:szCs w:val="22"/>
        </w:rPr>
      </w:r>
    </w:p>
    <w:p>
      <w:pPr>
        <w:pStyle w:val="Normal"/>
        <w:jc w:val="both"/>
        <w:rPr/>
      </w:pPr>
      <w:r>
        <w:rPr>
          <w:sz w:val="22"/>
          <w:szCs w:val="22"/>
        </w:rPr>
        <w:tab/>
      </w:r>
      <w:r>
        <w:rPr>
          <w:b/>
          <w:bCs/>
          <w:sz w:val="22"/>
          <w:szCs w:val="22"/>
        </w:rPr>
        <w:t>AND WHEREAS,</w:t>
      </w:r>
      <w:r>
        <w:rPr>
          <w:sz w:val="22"/>
          <w:szCs w:val="22"/>
        </w:rPr>
        <w:t xml:space="preserve"> the parties hereto desire to provide for the netting of the parties’ respective exposure under the Master Agreements for the purpose of determining the parties’ respective obligations to establish a Letter of Credit under the Master Agreements;</w:t>
      </w:r>
    </w:p>
    <w:p>
      <w:pPr>
        <w:pStyle w:val="Normal"/>
        <w:jc w:val="both"/>
        <w:rPr>
          <w:sz w:val="22"/>
          <w:szCs w:val="22"/>
        </w:rPr>
      </w:pPr>
      <w:r>
        <w:rPr>
          <w:sz w:val="22"/>
          <w:szCs w:val="22"/>
        </w:rPr>
      </w:r>
    </w:p>
    <w:p>
      <w:pPr>
        <w:pStyle w:val="Normal"/>
        <w:jc w:val="both"/>
        <w:rPr/>
      </w:pPr>
      <w:r>
        <w:rPr>
          <w:sz w:val="22"/>
          <w:szCs w:val="22"/>
        </w:rPr>
        <w:tab/>
      </w:r>
      <w:r>
        <w:rPr>
          <w:b/>
          <w:bCs/>
          <w:sz w:val="22"/>
          <w:szCs w:val="22"/>
        </w:rPr>
        <w:t>NOW THEREFORE,</w:t>
      </w:r>
      <w:r>
        <w:rPr>
          <w:sz w:val="22"/>
          <w:szCs w:val="22"/>
        </w:rPr>
        <w:t xml:space="preserve"> for and in consideration of the mutual agreements herein made and other good and valuable consideration, the parties hereto agree as follows:</w:t>
      </w:r>
    </w:p>
    <w:p>
      <w:pPr>
        <w:pStyle w:val="Normal"/>
        <w:jc w:val="both"/>
        <w:rPr>
          <w:sz w:val="22"/>
          <w:szCs w:val="22"/>
        </w:rPr>
      </w:pPr>
      <w:r>
        <w:rPr>
          <w:sz w:val="22"/>
          <w:szCs w:val="22"/>
        </w:rPr>
      </w:r>
    </w:p>
    <w:p>
      <w:pPr>
        <w:pStyle w:val="Normal"/>
        <w:jc w:val="both"/>
        <w:rPr>
          <w:b/>
          <w:bCs/>
          <w:sz w:val="22"/>
          <w:szCs w:val="22"/>
        </w:rPr>
      </w:pPr>
      <w:r>
        <w:rPr>
          <w:b/>
          <w:bCs/>
          <w:sz w:val="22"/>
          <w:szCs w:val="22"/>
        </w:rPr>
        <w:t>I.</w:t>
        <w:tab/>
        <w:t>PROVISIONS</w:t>
      </w:r>
    </w:p>
    <w:p>
      <w:pPr>
        <w:pStyle w:val="Normal"/>
        <w:jc w:val="both"/>
        <w:rPr>
          <w:b/>
          <w:bCs/>
          <w:sz w:val="22"/>
          <w:szCs w:val="22"/>
        </w:rPr>
      </w:pPr>
      <w:r>
        <w:rPr>
          <w:b/>
          <w:bCs/>
          <w:sz w:val="22"/>
          <w:szCs w:val="22"/>
        </w:rPr>
      </w:r>
    </w:p>
    <w:p>
      <w:pPr>
        <w:pStyle w:val="Normal"/>
        <w:jc w:val="both"/>
        <w:rPr/>
      </w:pPr>
      <w:r>
        <w:rPr>
          <w:sz w:val="22"/>
          <w:szCs w:val="22"/>
        </w:rPr>
        <w:tab/>
      </w:r>
      <w:r>
        <w:rPr>
          <w:b/>
          <w:bCs/>
          <w:sz w:val="22"/>
          <w:szCs w:val="22"/>
        </w:rPr>
        <w:t>1.</w:t>
      </w:r>
      <w:r>
        <w:rPr>
          <w:sz w:val="22"/>
          <w:szCs w:val="22"/>
        </w:rPr>
        <w:tab/>
      </w:r>
      <w:r>
        <w:rPr>
          <w:b/>
          <w:bCs/>
          <w:sz w:val="22"/>
          <w:szCs w:val="22"/>
        </w:rPr>
        <w:t>Definitions.</w:t>
      </w:r>
      <w:r>
        <w:rPr>
          <w:sz w:val="22"/>
          <w:szCs w:val="22"/>
        </w:rPr>
        <w:t xml:space="preserve">  Capitalized terms used or incorporated by reference herein and not otherwise defined shall have the respective meanings set forth in the ISDA Master Agreement and Gas Master, as applicable.</w:t>
      </w:r>
    </w:p>
    <w:p>
      <w:pPr>
        <w:pStyle w:val="Normal"/>
        <w:jc w:val="both"/>
        <w:rPr>
          <w:sz w:val="22"/>
          <w:szCs w:val="22"/>
        </w:rPr>
      </w:pPr>
      <w:r>
        <w:rPr>
          <w:sz w:val="22"/>
          <w:szCs w:val="22"/>
        </w:rPr>
      </w:r>
    </w:p>
    <w:p>
      <w:pPr>
        <w:pStyle w:val="Normal"/>
        <w:jc w:val="both"/>
        <w:rPr/>
      </w:pPr>
      <w:r>
        <w:rPr>
          <w:sz w:val="22"/>
          <w:szCs w:val="22"/>
        </w:rPr>
        <w:tab/>
      </w:r>
      <w:r>
        <w:rPr>
          <w:b/>
          <w:bCs/>
          <w:sz w:val="22"/>
          <w:szCs w:val="22"/>
        </w:rPr>
        <w:t>2.</w:t>
      </w:r>
      <w:r>
        <w:rPr>
          <w:sz w:val="22"/>
          <w:szCs w:val="22"/>
        </w:rPr>
        <w:tab/>
      </w:r>
      <w:r>
        <w:rPr>
          <w:b/>
          <w:bCs/>
          <w:sz w:val="22"/>
          <w:szCs w:val="22"/>
        </w:rPr>
        <w:t>Setoff.</w:t>
      </w:r>
      <w:r>
        <w:rPr>
          <w:sz w:val="22"/>
          <w:szCs w:val="22"/>
        </w:rPr>
        <w:t xml:space="preserve">  Upon the designation or deemed designation of an Early Termination Date under either Master Agreement (a Master Agreement in respect of which an Early Termination Date has been so designated shall, for the purposes of this section, be referred to as the “Designated Master Agreement”, and the other Master Agreement, whether or not an Early Termination Date has been designated or deemed designated in respect thereof, shall, for the purposes of this section, be referred to as the “Other Master Agreement”), in addition to and not in limitation of any other right or remedy (including any right to setoff, counterclaim or otherwise withhold payment) under applicable law:</w:t>
      </w:r>
    </w:p>
    <w:p>
      <w:pPr>
        <w:pStyle w:val="Normal"/>
        <w:jc w:val="both"/>
        <w:rPr>
          <w:sz w:val="22"/>
          <w:szCs w:val="22"/>
        </w:rPr>
      </w:pPr>
      <w:r>
        <w:rPr>
          <w:sz w:val="22"/>
          <w:szCs w:val="22"/>
        </w:rPr>
      </w:r>
    </w:p>
    <w:p>
      <w:pPr>
        <w:pStyle w:val="Normal"/>
        <w:jc w:val="both"/>
        <w:rPr>
          <w:sz w:val="22"/>
          <w:szCs w:val="22"/>
        </w:rPr>
      </w:pPr>
      <w:r>
        <w:rPr>
          <w:sz w:val="22"/>
          <w:szCs w:val="22"/>
        </w:rPr>
        <w:tab/>
        <w:t>(a)</w:t>
        <w:tab/>
        <w:t>the Non-defaulting Party under the ISDA Master; or</w:t>
      </w:r>
    </w:p>
    <w:p>
      <w:pPr>
        <w:pStyle w:val="Normal"/>
        <w:jc w:val="both"/>
        <w:rPr>
          <w:sz w:val="22"/>
          <w:szCs w:val="22"/>
        </w:rPr>
      </w:pPr>
      <w:r>
        <w:rPr>
          <w:sz w:val="22"/>
          <w:szCs w:val="22"/>
        </w:rPr>
      </w:r>
    </w:p>
    <w:p>
      <w:pPr>
        <w:pStyle w:val="Normal"/>
        <w:jc w:val="both"/>
        <w:rPr>
          <w:sz w:val="22"/>
          <w:szCs w:val="22"/>
        </w:rPr>
      </w:pPr>
      <w:r>
        <w:rPr>
          <w:sz w:val="22"/>
          <w:szCs w:val="22"/>
        </w:rPr>
        <w:tab/>
        <w:t>(b)</w:t>
        <w:tab/>
        <w:t>the Notifying Party under the Gas Master;</w:t>
      </w:r>
    </w:p>
    <w:p>
      <w:pPr>
        <w:pStyle w:val="Normal"/>
        <w:jc w:val="both"/>
        <w:rPr>
          <w:sz w:val="22"/>
          <w:szCs w:val="22"/>
        </w:rPr>
      </w:pPr>
      <w:r>
        <w:rPr>
          <w:sz w:val="22"/>
          <w:szCs w:val="22"/>
        </w:rPr>
      </w:r>
    </w:p>
    <w:p>
      <w:pPr>
        <w:pStyle w:val="Normal"/>
        <w:jc w:val="both"/>
        <w:rPr>
          <w:sz w:val="22"/>
          <w:szCs w:val="22"/>
        </w:rPr>
      </w:pPr>
      <w:r>
        <w:rPr>
          <w:sz w:val="22"/>
          <w:szCs w:val="22"/>
        </w:rPr>
        <w:t>as applicable (in either case, the “Liquidating Party”), may, at its option and in its discretion, setoff any amounts owed by the Liquidating Party to the other party (the “Other Party”) under the Other Master Agreement against any amounts owed by the Other Party to the Liquidating Party under the Designated Master Agreement.  The obligations of the Liquidating Party and the Other Party under the Master Agreements in respect of such amounts shall be deemed satisfied and discharged to the extent of any such setoff.  The Liquidating Party will give the Other Party notice of any setoff effected under this section as soon as practicable after the setoff is effected, provided that failure to give such notice shall not affect the validity of the setoff.  This setoff provision shall be without prejudice and in addition to any right of setoff, combination of accounts, lien or other right or remedy to which any party is at any time otherwise entitled (whether by operation of law, contract or otherwise).</w:t>
      </w:r>
    </w:p>
    <w:p>
      <w:pPr>
        <w:pStyle w:val="Normal"/>
        <w:jc w:val="both"/>
        <w:rPr>
          <w:sz w:val="22"/>
          <w:szCs w:val="22"/>
        </w:rPr>
      </w:pPr>
      <w:r>
        <w:rPr>
          <w:sz w:val="22"/>
          <w:szCs w:val="22"/>
        </w:rPr>
      </w:r>
    </w:p>
    <w:p>
      <w:pPr>
        <w:pStyle w:val="Normal"/>
        <w:jc w:val="both"/>
        <w:rPr/>
      </w:pPr>
      <w:r>
        <w:rPr>
          <w:sz w:val="22"/>
          <w:szCs w:val="22"/>
        </w:rPr>
        <w:tab/>
      </w:r>
      <w:r>
        <w:rPr>
          <w:b/>
          <w:bCs/>
          <w:sz w:val="22"/>
          <w:szCs w:val="22"/>
        </w:rPr>
        <w:t>3.</w:t>
      </w:r>
      <w:r>
        <w:rPr>
          <w:sz w:val="22"/>
          <w:szCs w:val="22"/>
        </w:rPr>
        <w:tab/>
      </w:r>
      <w:r>
        <w:rPr>
          <w:b/>
          <w:bCs/>
          <w:sz w:val="22"/>
          <w:szCs w:val="22"/>
        </w:rPr>
        <w:t>Liquidation.</w:t>
      </w:r>
      <w:r>
        <w:rPr>
          <w:sz w:val="22"/>
          <w:szCs w:val="22"/>
        </w:rPr>
        <w:t xml:space="preserve">  The occurrence of any Event of Default under the ISDA Master shall constitute a Triggering Event under the Gas Master in respect of which (a) the Defaulting Party under the ISDA Master shall be the Affected Party under the Gas Master, and (b) the Non-defaulting Party under the ISDA Master may exercise all of the rights and remedies provided by the Notifying Party under the pursuant to the Gas Master.</w:t>
      </w:r>
    </w:p>
    <w:p>
      <w:pPr>
        <w:pStyle w:val="Normal"/>
        <w:jc w:val="both"/>
        <w:rPr>
          <w:sz w:val="22"/>
          <w:szCs w:val="22"/>
        </w:rPr>
      </w:pPr>
      <w:r>
        <w:rPr>
          <w:sz w:val="22"/>
          <w:szCs w:val="22"/>
        </w:rPr>
      </w:r>
    </w:p>
    <w:p>
      <w:pPr>
        <w:pStyle w:val="Normal"/>
        <w:jc w:val="both"/>
        <w:rPr>
          <w:sz w:val="22"/>
          <w:szCs w:val="22"/>
        </w:rPr>
      </w:pPr>
      <w:r>
        <w:rPr>
          <w:sz w:val="22"/>
          <w:szCs w:val="22"/>
        </w:rPr>
        <w:tab/>
        <w:tab/>
        <w:t>The occurrence of a Triggering Event under the Gas Master shall constitute an Event of Default under the ISDA Master in respect of which (c) the Affected Party under the Gas Master shall be the Defaulting Party under the ISDA Master, and (d) the Notifying Party under the Gas Master may exercise all of the rights and remedies provided the Non-defaulting Party under and pursuant to the ISDA Master.</w:t>
      </w:r>
    </w:p>
    <w:p>
      <w:pPr>
        <w:pStyle w:val="Normal"/>
        <w:jc w:val="both"/>
        <w:rPr>
          <w:sz w:val="22"/>
          <w:szCs w:val="22"/>
        </w:rPr>
      </w:pPr>
      <w:r>
        <w:rPr>
          <w:sz w:val="22"/>
          <w:szCs w:val="22"/>
        </w:rPr>
      </w:r>
    </w:p>
    <w:p>
      <w:pPr>
        <w:pStyle w:val="Normal"/>
        <w:jc w:val="both"/>
        <w:rPr/>
      </w:pPr>
      <w:r>
        <w:rPr>
          <w:sz w:val="22"/>
          <w:szCs w:val="22"/>
        </w:rPr>
        <w:tab/>
      </w:r>
      <w:r>
        <w:rPr>
          <w:b/>
          <w:bCs/>
          <w:sz w:val="22"/>
          <w:szCs w:val="22"/>
        </w:rPr>
        <w:t>4.</w:t>
      </w:r>
      <w:r>
        <w:rPr>
          <w:sz w:val="22"/>
          <w:szCs w:val="22"/>
        </w:rPr>
        <w:tab/>
      </w:r>
      <w:r>
        <w:rPr>
          <w:b/>
          <w:bCs/>
          <w:sz w:val="22"/>
          <w:szCs w:val="22"/>
        </w:rPr>
        <w:t>Netting of Exposures.</w:t>
      </w:r>
      <w:r>
        <w:rPr>
          <w:sz w:val="22"/>
          <w:szCs w:val="22"/>
        </w:rPr>
        <w:t xml:space="preserve">  The parties hereby agree to replace the determination of separate collateral requirements under each of the ISDA Credit Support Annex and the Gas Master with an aggregate collateral requirement under both Master Agreements as follows:</w:t>
      </w:r>
    </w:p>
    <w:p>
      <w:pPr>
        <w:pStyle w:val="Normal"/>
        <w:jc w:val="both"/>
        <w:rPr>
          <w:sz w:val="22"/>
          <w:szCs w:val="22"/>
        </w:rPr>
      </w:pPr>
      <w:r>
        <w:rPr>
          <w:sz w:val="22"/>
          <w:szCs w:val="22"/>
        </w:rPr>
      </w:r>
    </w:p>
    <w:p>
      <w:pPr>
        <w:pStyle w:val="Normal"/>
        <w:ind w:firstLine="720" w:end="0"/>
        <w:jc w:val="both"/>
        <w:rPr/>
      </w:pPr>
      <w:r>
        <w:rPr>
          <w:sz w:val="22"/>
          <w:szCs w:val="22"/>
        </w:rPr>
        <w:t>(A)</w:t>
      </w:r>
      <w:r>
        <w:rPr>
          <w:b/>
          <w:bCs/>
          <w:sz w:val="22"/>
          <w:szCs w:val="22"/>
        </w:rPr>
        <w:tab/>
        <w:t>Additional Definitions.</w:t>
      </w:r>
      <w:r>
        <w:rPr>
          <w:sz w:val="22"/>
          <w:szCs w:val="22"/>
        </w:rPr>
        <w:t xml:space="preserve">  For the purposes of this Section 4, the following terms shall have the definitions herein ascribed thereto:</w:t>
      </w:r>
    </w:p>
    <w:p>
      <w:pPr>
        <w:pStyle w:val="Normal"/>
        <w:ind w:firstLine="720" w:end="0"/>
        <w:jc w:val="both"/>
        <w:rPr>
          <w:sz w:val="22"/>
          <w:szCs w:val="22"/>
        </w:rPr>
      </w:pPr>
      <w:r>
        <w:rPr>
          <w:sz w:val="22"/>
          <w:szCs w:val="22"/>
        </w:rPr>
      </w:r>
    </w:p>
    <w:p>
      <w:pPr>
        <w:pStyle w:val="Normal"/>
        <w:ind w:hanging="720" w:start="1440" w:end="0"/>
        <w:jc w:val="both"/>
        <w:rPr/>
      </w:pPr>
      <w:r>
        <w:rPr>
          <w:sz w:val="22"/>
          <w:szCs w:val="22"/>
        </w:rPr>
        <w:t>(a)</w:t>
      </w:r>
      <w:r>
        <w:rPr>
          <w:b/>
          <w:bCs/>
          <w:sz w:val="22"/>
          <w:szCs w:val="22"/>
        </w:rPr>
        <w:tab/>
        <w:t>“Aggregate Exposure Amount”</w:t>
      </w:r>
      <w:r>
        <w:rPr>
          <w:sz w:val="22"/>
          <w:szCs w:val="22"/>
        </w:rPr>
        <w:t xml:space="preserve"> shall mean, on any date and in respect of a party, that amount equal to:</w:t>
      </w:r>
    </w:p>
    <w:p>
      <w:pPr>
        <w:pStyle w:val="Normal"/>
        <w:ind w:firstLine="720" w:end="0"/>
        <w:jc w:val="both"/>
        <w:rPr>
          <w:sz w:val="22"/>
          <w:szCs w:val="22"/>
        </w:rPr>
      </w:pPr>
      <w:r>
        <w:rPr>
          <w:sz w:val="22"/>
          <w:szCs w:val="22"/>
        </w:rPr>
      </w:r>
    </w:p>
    <w:p>
      <w:pPr>
        <w:pStyle w:val="Normal"/>
        <w:ind w:hanging="720" w:start="2160" w:end="0"/>
        <w:jc w:val="both"/>
        <w:rPr>
          <w:sz w:val="22"/>
          <w:szCs w:val="22"/>
        </w:rPr>
      </w:pPr>
      <w:r>
        <w:rPr>
          <w:sz w:val="22"/>
          <w:szCs w:val="22"/>
        </w:rPr>
        <w:t>(i)</w:t>
        <w:tab/>
        <w:t>the Exposure Amount of that party on that date, as determined in accordance with Section II(a) of the ISDA Credit Support Annex; plus</w:t>
      </w:r>
    </w:p>
    <w:p>
      <w:pPr>
        <w:pStyle w:val="Normal"/>
        <w:ind w:firstLine="1440" w:end="0"/>
        <w:jc w:val="both"/>
        <w:rPr>
          <w:sz w:val="22"/>
          <w:szCs w:val="22"/>
        </w:rPr>
      </w:pPr>
      <w:r>
        <w:rPr>
          <w:sz w:val="22"/>
          <w:szCs w:val="22"/>
        </w:rPr>
      </w:r>
    </w:p>
    <w:p>
      <w:pPr>
        <w:pStyle w:val="Normal"/>
        <w:ind w:hanging="720" w:start="2160" w:end="0"/>
        <w:jc w:val="both"/>
        <w:rPr>
          <w:sz w:val="22"/>
          <w:szCs w:val="22"/>
        </w:rPr>
      </w:pPr>
      <w:r>
        <w:rPr>
          <w:sz w:val="22"/>
          <w:szCs w:val="22"/>
        </w:rPr>
        <w:t>(ii)</w:t>
        <w:tab/>
        <w:t>the total amount, if any, of Liquidated Damages that would be owed to that party on that date under Section 10.2 of the Gas Master assuming an Early Termination Date had been effectively designated by that party in respect of that date as a result of a Triggering Event;</w:t>
      </w:r>
    </w:p>
    <w:p>
      <w:pPr>
        <w:pStyle w:val="Normal"/>
        <w:ind w:firstLine="1440" w:end="0"/>
        <w:jc w:val="both"/>
        <w:rPr>
          <w:sz w:val="22"/>
          <w:szCs w:val="22"/>
        </w:rPr>
      </w:pPr>
      <w:r>
        <w:rPr>
          <w:sz w:val="22"/>
          <w:szCs w:val="22"/>
        </w:rPr>
      </w:r>
    </w:p>
    <w:p>
      <w:pPr>
        <w:pStyle w:val="Normal"/>
        <w:ind w:hanging="720" w:start="1440" w:end="0"/>
        <w:jc w:val="both"/>
        <w:rPr/>
      </w:pPr>
      <w:r>
        <w:rPr>
          <w:sz w:val="22"/>
          <w:szCs w:val="22"/>
        </w:rPr>
        <w:t>(b)</w:t>
        <w:tab/>
      </w:r>
      <w:r>
        <w:rPr>
          <w:b/>
          <w:bCs/>
          <w:sz w:val="22"/>
          <w:szCs w:val="22"/>
        </w:rPr>
        <w:t>“Aggregate Net Exposure”</w:t>
      </w:r>
      <w:r>
        <w:rPr>
          <w:sz w:val="22"/>
          <w:szCs w:val="22"/>
        </w:rPr>
        <w:t xml:space="preserve"> shall have the meaning provided therefor in Section 4(b) below; and</w:t>
      </w:r>
    </w:p>
    <w:p>
      <w:pPr>
        <w:pStyle w:val="Normal"/>
        <w:ind w:firstLine="720" w:end="0"/>
        <w:jc w:val="both"/>
        <w:rPr>
          <w:sz w:val="22"/>
          <w:szCs w:val="22"/>
        </w:rPr>
      </w:pPr>
      <w:r>
        <w:rPr>
          <w:sz w:val="22"/>
          <w:szCs w:val="22"/>
        </w:rPr>
      </w:r>
    </w:p>
    <w:p>
      <w:pPr>
        <w:pStyle w:val="Normal"/>
        <w:ind w:hanging="720" w:start="1440" w:end="0"/>
        <w:jc w:val="both"/>
        <w:rPr/>
      </w:pPr>
      <w:r>
        <w:rPr>
          <w:sz w:val="22"/>
          <w:szCs w:val="22"/>
        </w:rPr>
        <w:t>(c)</w:t>
        <w:tab/>
      </w:r>
      <w:r>
        <w:rPr>
          <w:b/>
          <w:bCs/>
          <w:sz w:val="22"/>
          <w:szCs w:val="22"/>
        </w:rPr>
        <w:t>“ISDA Credit Support Annex”</w:t>
      </w:r>
      <w:r>
        <w:rPr>
          <w:sz w:val="22"/>
          <w:szCs w:val="22"/>
        </w:rPr>
        <w:t xml:space="preserve"> means Annex A, Collateral and Exposure Provisions, of the ISDA Master.</w:t>
      </w:r>
    </w:p>
    <w:p>
      <w:pPr>
        <w:pStyle w:val="Normal"/>
        <w:ind w:firstLine="720" w:end="0"/>
        <w:jc w:val="both"/>
        <w:rPr>
          <w:sz w:val="22"/>
          <w:szCs w:val="22"/>
        </w:rPr>
      </w:pPr>
      <w:r>
        <w:rPr>
          <w:sz w:val="22"/>
          <w:szCs w:val="22"/>
        </w:rPr>
      </w:r>
    </w:p>
    <w:p>
      <w:pPr>
        <w:pStyle w:val="Normal"/>
        <w:ind w:firstLine="720" w:end="0"/>
        <w:jc w:val="both"/>
        <w:rPr/>
      </w:pPr>
      <w:r>
        <w:rPr>
          <w:sz w:val="22"/>
          <w:szCs w:val="22"/>
        </w:rPr>
        <w:t>(B)</w:t>
        <w:tab/>
      </w:r>
      <w:r>
        <w:rPr>
          <w:b/>
          <w:bCs/>
          <w:sz w:val="22"/>
          <w:szCs w:val="22"/>
        </w:rPr>
        <w:t>Aggregate Net Exposure.</w:t>
      </w:r>
      <w:r>
        <w:rPr>
          <w:sz w:val="22"/>
          <w:szCs w:val="22"/>
        </w:rPr>
        <w:t xml:space="preserve">  The party having the greater Aggregate Exposure Amount at any time (the Exposed Party) shall be deemed to have an “Aggregate Net Exposure” to the other party (the Non-Exposed Party) equal to the difference between its Aggregate Exposure Amount and the other party’s Aggregate Exposure Amount.</w:t>
      </w:r>
    </w:p>
    <w:p>
      <w:pPr>
        <w:pStyle w:val="Normal"/>
        <w:ind w:firstLine="720" w:end="0"/>
        <w:jc w:val="both"/>
        <w:rPr>
          <w:sz w:val="22"/>
          <w:szCs w:val="22"/>
        </w:rPr>
      </w:pPr>
      <w:r>
        <w:rPr>
          <w:sz w:val="22"/>
          <w:szCs w:val="22"/>
        </w:rPr>
      </w:r>
    </w:p>
    <w:p>
      <w:pPr>
        <w:pStyle w:val="Normal"/>
        <w:ind w:firstLine="720" w:end="0"/>
        <w:jc w:val="both"/>
        <w:rPr/>
      </w:pPr>
      <w:r>
        <w:rPr>
          <w:sz w:val="22"/>
          <w:szCs w:val="22"/>
        </w:rPr>
        <w:t>(C)</w:t>
        <w:tab/>
      </w:r>
      <w:r>
        <w:rPr>
          <w:b/>
          <w:bCs/>
          <w:sz w:val="22"/>
          <w:szCs w:val="22"/>
        </w:rPr>
        <w:t>Aggregate Collateral Requirement.</w:t>
      </w:r>
      <w:r>
        <w:rPr>
          <w:sz w:val="22"/>
          <w:szCs w:val="22"/>
        </w:rPr>
        <w:t xml:space="preserve">  The ISDA Credit Support Annex is hereby amended as follows:</w:t>
      </w:r>
    </w:p>
    <w:p>
      <w:pPr>
        <w:pStyle w:val="Normal"/>
        <w:ind w:firstLine="720" w:end="0"/>
        <w:jc w:val="both"/>
        <w:rPr>
          <w:sz w:val="22"/>
          <w:szCs w:val="22"/>
        </w:rPr>
      </w:pPr>
      <w:r>
        <w:rPr>
          <w:sz w:val="22"/>
          <w:szCs w:val="22"/>
        </w:rPr>
      </w:r>
    </w:p>
    <w:p>
      <w:pPr>
        <w:pStyle w:val="Normal"/>
        <w:ind w:start="720" w:end="0"/>
        <w:jc w:val="both"/>
        <w:rPr>
          <w:sz w:val="22"/>
          <w:szCs w:val="22"/>
        </w:rPr>
      </w:pPr>
      <w:r>
        <w:rPr>
          <w:sz w:val="22"/>
          <w:szCs w:val="22"/>
        </w:rPr>
        <w:t>(a)</w:t>
        <w:tab/>
        <w:t>by deleting Section II(b) in its entirety and substituting therefor the following:</w:t>
      </w:r>
    </w:p>
    <w:p>
      <w:pPr>
        <w:pStyle w:val="Normal"/>
        <w:ind w:firstLine="720" w:end="0"/>
        <w:jc w:val="both"/>
        <w:rPr>
          <w:sz w:val="22"/>
          <w:szCs w:val="22"/>
        </w:rPr>
      </w:pPr>
      <w:r>
        <w:rPr>
          <w:sz w:val="22"/>
          <w:szCs w:val="22"/>
        </w:rPr>
      </w:r>
    </w:p>
    <w:p>
      <w:pPr>
        <w:pStyle w:val="Normal"/>
        <w:ind w:hanging="720" w:start="1440" w:end="0"/>
        <w:jc w:val="both"/>
        <w:rPr/>
      </w:pPr>
      <w:r>
        <w:rPr>
          <w:sz w:val="22"/>
          <w:szCs w:val="22"/>
        </w:rPr>
        <w:t>“</w:t>
      </w:r>
      <w:r>
        <w:rPr>
          <w:i/>
          <w:iCs/>
          <w:sz w:val="22"/>
          <w:szCs w:val="22"/>
        </w:rPr>
        <w:t>(b)</w:t>
        <w:tab/>
        <w:t>The “</w:t>
      </w:r>
      <w:r>
        <w:rPr>
          <w:i/>
          <w:iCs/>
          <w:sz w:val="22"/>
          <w:szCs w:val="22"/>
          <w:u w:val="single"/>
        </w:rPr>
        <w:t>Collateral Requirement</w:t>
      </w:r>
      <w:r>
        <w:rPr>
          <w:i/>
          <w:iCs/>
          <w:sz w:val="22"/>
          <w:szCs w:val="22"/>
        </w:rPr>
        <w:t>” for a Non-Exposed Party shall mean the excess, if any, of the Exposed Party’s Aggregate Net Exposure over the sum of:</w:t>
      </w:r>
    </w:p>
    <w:p>
      <w:pPr>
        <w:pStyle w:val="Normal"/>
        <w:ind w:firstLine="720" w:end="0"/>
        <w:jc w:val="both"/>
        <w:rPr>
          <w:i/>
          <w:i/>
          <w:iCs/>
          <w:sz w:val="22"/>
          <w:szCs w:val="22"/>
        </w:rPr>
      </w:pPr>
      <w:r>
        <w:rPr>
          <w:i/>
          <w:iCs/>
          <w:sz w:val="22"/>
          <w:szCs w:val="22"/>
        </w:rPr>
      </w:r>
    </w:p>
    <w:p>
      <w:pPr>
        <w:pStyle w:val="Normal"/>
        <w:ind w:firstLine="1440" w:end="0"/>
        <w:jc w:val="both"/>
        <w:rPr>
          <w:i/>
          <w:i/>
          <w:iCs/>
          <w:sz w:val="22"/>
          <w:szCs w:val="22"/>
        </w:rPr>
      </w:pPr>
      <w:r>
        <w:rPr>
          <w:i/>
          <w:iCs/>
          <w:sz w:val="22"/>
          <w:szCs w:val="22"/>
        </w:rPr>
        <w:t>(i)</w:t>
        <w:tab/>
        <w:t>the Non-Exposed Party’s Exposure Threshold; and</w:t>
      </w:r>
    </w:p>
    <w:p>
      <w:pPr>
        <w:pStyle w:val="Normal"/>
        <w:ind w:firstLine="1440" w:end="0"/>
        <w:jc w:val="both"/>
        <w:rPr>
          <w:i/>
          <w:i/>
          <w:iCs/>
          <w:sz w:val="22"/>
          <w:szCs w:val="22"/>
        </w:rPr>
      </w:pPr>
      <w:r>
        <w:rPr>
          <w:i/>
          <w:iCs/>
          <w:sz w:val="22"/>
          <w:szCs w:val="22"/>
        </w:rPr>
      </w:r>
    </w:p>
    <w:p>
      <w:pPr>
        <w:pStyle w:val="Normal"/>
        <w:ind w:hanging="720" w:start="2160" w:end="0"/>
        <w:jc w:val="both"/>
        <w:rPr/>
      </w:pPr>
      <w:r>
        <w:rPr>
          <w:i/>
          <w:iCs/>
          <w:sz w:val="22"/>
          <w:szCs w:val="22"/>
        </w:rPr>
        <w:t>(ii)</w:t>
        <w:tab/>
        <w:t>the remaining undrawn portion of any outstanding Letter of Credit maintained by the Non-Exposed Party for the benefit of the Exposed Party.</w:t>
      </w:r>
      <w:r>
        <w:rPr>
          <w:sz w:val="22"/>
          <w:szCs w:val="22"/>
        </w:rPr>
        <w:t>”</w:t>
      </w:r>
    </w:p>
    <w:p>
      <w:pPr>
        <w:pStyle w:val="Normal"/>
        <w:ind w:firstLine="1440" w:end="0"/>
        <w:jc w:val="both"/>
        <w:rPr>
          <w:sz w:val="22"/>
          <w:szCs w:val="22"/>
        </w:rPr>
      </w:pPr>
      <w:r>
        <w:rPr>
          <w:sz w:val="22"/>
          <w:szCs w:val="22"/>
        </w:rPr>
      </w:r>
    </w:p>
    <w:p>
      <w:pPr>
        <w:pStyle w:val="Normal"/>
        <w:ind w:firstLine="720" w:end="0"/>
        <w:jc w:val="both"/>
        <w:rPr>
          <w:sz w:val="22"/>
          <w:szCs w:val="22"/>
        </w:rPr>
      </w:pPr>
      <w:r>
        <w:rPr>
          <w:sz w:val="22"/>
          <w:szCs w:val="22"/>
        </w:rPr>
        <w:t>(b)</w:t>
        <w:tab/>
        <w:t>by deleting the definition provided for “Exposure Threshold” in Section I and substituting therefor the following:</w:t>
      </w:r>
    </w:p>
    <w:p>
      <w:pPr>
        <w:pStyle w:val="Normal"/>
        <w:ind w:firstLine="720" w:end="0"/>
        <w:jc w:val="both"/>
        <w:rPr>
          <w:sz w:val="22"/>
          <w:szCs w:val="22"/>
        </w:rPr>
      </w:pPr>
      <w:r>
        <w:rPr>
          <w:sz w:val="22"/>
          <w:szCs w:val="22"/>
        </w:rPr>
      </w:r>
    </w:p>
    <w:p>
      <w:pPr>
        <w:pStyle w:val="Normal"/>
        <w:ind w:start="720" w:end="0"/>
        <w:jc w:val="both"/>
        <w:rPr/>
      </w:pPr>
      <w:r>
        <w:rPr>
          <w:sz w:val="22"/>
          <w:szCs w:val="22"/>
        </w:rPr>
        <w:t>“</w:t>
      </w:r>
      <w:r>
        <w:rPr>
          <w:i/>
          <w:iCs/>
          <w:sz w:val="22"/>
          <w:szCs w:val="22"/>
          <w:u w:val="single"/>
        </w:rPr>
        <w:t>Exposure Threshold</w:t>
      </w:r>
      <w:r>
        <w:rPr>
          <w:i/>
          <w:iCs/>
          <w:sz w:val="22"/>
          <w:szCs w:val="22"/>
        </w:rPr>
        <w:t>” shall mean, with respect to both parties, U.S. $20,000,000; provided, however, that the Exposure Threshold for a party shall be zero upon the occurrence and during the continuance of a Material Adverse Change or an Event of Default or Potential Event of Default with respect to such party.</w:t>
      </w:r>
      <w:r>
        <w:rPr>
          <w:sz w:val="22"/>
          <w:szCs w:val="22"/>
        </w:rPr>
        <w:t>”</w:t>
      </w:r>
    </w:p>
    <w:p>
      <w:pPr>
        <w:pStyle w:val="Normal"/>
        <w:ind w:firstLine="720" w:end="0"/>
        <w:jc w:val="both"/>
        <w:rPr>
          <w:sz w:val="22"/>
          <w:szCs w:val="22"/>
        </w:rPr>
      </w:pPr>
      <w:r>
        <w:rPr>
          <w:sz w:val="22"/>
          <w:szCs w:val="22"/>
        </w:rPr>
      </w:r>
    </w:p>
    <w:p>
      <w:pPr>
        <w:pStyle w:val="Normal"/>
        <w:ind w:hanging="720" w:start="1440" w:end="0"/>
        <w:jc w:val="both"/>
        <w:rPr>
          <w:sz w:val="22"/>
          <w:szCs w:val="22"/>
        </w:rPr>
      </w:pPr>
      <w:r>
        <w:rPr>
          <w:sz w:val="22"/>
          <w:szCs w:val="22"/>
        </w:rPr>
        <w:t>(c)</w:t>
        <w:tab/>
        <w:t>by substituting for each instance of the term “Net Exposure” in Section V the term “Aggregate Net Exposure”.</w:t>
      </w:r>
    </w:p>
    <w:p>
      <w:pPr>
        <w:pStyle w:val="Normal"/>
        <w:ind w:firstLine="720" w:end="0"/>
        <w:jc w:val="both"/>
        <w:rPr>
          <w:sz w:val="22"/>
          <w:szCs w:val="22"/>
        </w:rPr>
      </w:pPr>
      <w:r>
        <w:rPr>
          <w:sz w:val="22"/>
          <w:szCs w:val="22"/>
        </w:rPr>
      </w:r>
    </w:p>
    <w:p>
      <w:pPr>
        <w:pStyle w:val="Normal"/>
        <w:ind w:firstLine="720" w:end="0"/>
        <w:jc w:val="both"/>
        <w:rPr/>
      </w:pPr>
      <w:r>
        <w:rPr>
          <w:sz w:val="22"/>
          <w:szCs w:val="22"/>
        </w:rPr>
        <w:t>(D)</w:t>
        <w:tab/>
      </w:r>
      <w:r>
        <w:rPr>
          <w:b/>
          <w:bCs/>
          <w:sz w:val="22"/>
          <w:szCs w:val="22"/>
        </w:rPr>
        <w:t>Application of Performance Assurance.</w:t>
      </w:r>
      <w:r>
        <w:rPr>
          <w:sz w:val="22"/>
          <w:szCs w:val="22"/>
        </w:rPr>
        <w:t xml:space="preserve">  For the purposes of Section VI of the ISDA Credit Support Annex, any amounts due and owing by the Non-Exposed Party to the Exposed Party under the Gas Master that have not been paid to the Exposed Party within the time allowed for such payments under the Gas Master (including any related notice or grace period or both) shall constitute amounts that are due and owing from the Non-Exposed Party to the Exposed Party under the ISDA Master.</w:t>
      </w:r>
    </w:p>
    <w:p>
      <w:pPr>
        <w:pStyle w:val="Normal"/>
        <w:ind w:firstLine="720" w:end="0"/>
        <w:jc w:val="both"/>
        <w:rPr>
          <w:sz w:val="22"/>
          <w:szCs w:val="22"/>
        </w:rPr>
      </w:pPr>
      <w:r>
        <w:rPr>
          <w:sz w:val="22"/>
          <w:szCs w:val="22"/>
        </w:rPr>
      </w:r>
    </w:p>
    <w:p>
      <w:pPr>
        <w:pStyle w:val="Normal"/>
        <w:ind w:firstLine="720" w:end="0"/>
        <w:jc w:val="both"/>
        <w:rPr/>
      </w:pPr>
      <w:r>
        <w:rPr>
          <w:sz w:val="22"/>
          <w:szCs w:val="22"/>
        </w:rPr>
        <w:t>(E)</w:t>
        <w:tab/>
      </w:r>
      <w:r>
        <w:rPr>
          <w:b/>
          <w:bCs/>
          <w:sz w:val="22"/>
          <w:szCs w:val="22"/>
        </w:rPr>
        <w:t>Gas Master Collateral Requirement Provisions.</w:t>
      </w:r>
      <w:r>
        <w:rPr>
          <w:sz w:val="22"/>
          <w:szCs w:val="22"/>
        </w:rPr>
        <w:t xml:space="preserve">  The Gas Master is hereby amended as follows: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(a)</w:t>
        <w:tab/>
        <w:t>Section 10.6 of the Gas Master is hereby deleted in its entirety; and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the failure to establish, maintain, extend or increase a Letter of Credit when required pursuant to the ISDA Credit Support Annex, or after reasonable notice fails to replace the issuing bank with another bank acceptable to the Exposed Party, shall constitute a Triggering Event under Section 10.3 of the Gas Master.</w:t>
      </w:r>
    </w:p>
    <w:p>
      <w:pPr>
        <w:pStyle w:val="Normal"/>
        <w:ind w:firstLine="720" w:end="0"/>
        <w:jc w:val="both"/>
        <w:rPr>
          <w:sz w:val="22"/>
          <w:szCs w:val="22"/>
        </w:rPr>
      </w:pPr>
      <w:r>
        <w:rPr>
          <w:sz w:val="22"/>
          <w:szCs w:val="22"/>
        </w:rPr>
      </w:r>
    </w:p>
    <w:p>
      <w:pPr>
        <w:pStyle w:val="Normal"/>
        <w:keepNext w:val="true"/>
        <w:ind w:firstLine="720" w:end="0"/>
        <w:jc w:val="both"/>
        <w:rPr>
          <w:sz w:val="22"/>
          <w:szCs w:val="22"/>
        </w:rPr>
      </w:pPr>
      <w:r>
        <w:rPr>
          <w:sz w:val="22"/>
          <w:szCs w:val="22"/>
        </w:rPr>
        <w:t>(F)</w:t>
        <w:tab/>
      </w:r>
      <w:r>
        <w:rPr>
          <w:b/>
          <w:bCs/>
          <w:sz w:val="22"/>
          <w:szCs w:val="22"/>
        </w:rPr>
        <w:t>Material Adverse Change.</w:t>
      </w:r>
    </w:p>
    <w:p>
      <w:pPr>
        <w:pStyle w:val="Normal"/>
        <w:keepNext w:val="true"/>
        <w:ind w:firstLine="720" w:end="0"/>
        <w:jc w:val="both"/>
        <w:rPr>
          <w:sz w:val="22"/>
          <w:szCs w:val="22"/>
        </w:rPr>
      </w:pPr>
      <w:r>
        <w:rPr>
          <w:sz w:val="22"/>
          <w:szCs w:val="22"/>
        </w:rPr>
      </w:r>
    </w:p>
    <w:p>
      <w:pPr>
        <w:pStyle w:val="Normal"/>
        <w:keepNext w:val="true"/>
        <w:ind w:firstLine="720" w:end="0"/>
        <w:jc w:val="both"/>
        <w:rPr>
          <w:sz w:val="22"/>
          <w:szCs w:val="22"/>
        </w:rPr>
      </w:pPr>
      <w:r>
        <w:rPr>
          <w:sz w:val="22"/>
          <w:szCs w:val="22"/>
        </w:rPr>
        <w:t>(a)</w:t>
        <w:tab/>
        <w:t>The definition provided for “Material Adverse Change” set forth in Section (k) of Part I of the Schedule to the ISDA Master is hereby amended by deleting the reference to “Cdn. $375,000,000” in subsection (ii) thereof and substituting therefor “____”.</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The Gas Master is hereby amended by deleting therefrom in its entirety:</w:t>
      </w:r>
    </w:p>
    <w:p>
      <w:pPr>
        <w:pStyle w:val="Normal"/>
        <w:ind w:firstLine="720" w:end="0"/>
        <w:jc w:val="both"/>
        <w:rPr>
          <w:sz w:val="22"/>
          <w:szCs w:val="22"/>
        </w:rPr>
      </w:pPr>
      <w:r>
        <w:rPr>
          <w:sz w:val="22"/>
          <w:szCs w:val="22"/>
        </w:rPr>
      </w:r>
    </w:p>
    <w:p>
      <w:pPr>
        <w:pStyle w:val="Normal"/>
        <w:ind w:start="1440" w:end="0"/>
        <w:jc w:val="both"/>
        <w:rPr>
          <w:sz w:val="22"/>
          <w:szCs w:val="22"/>
        </w:rPr>
      </w:pPr>
      <w:r>
        <w:rPr>
          <w:sz w:val="22"/>
          <w:szCs w:val="22"/>
        </w:rPr>
        <w:t>(i)</w:t>
        <w:tab/>
        <w:t>the definition provided for “Material Adverse Change” in Section 1.1; and</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t>(ii)</w:t>
        <w:tab/>
        <w:t>Section 10.3(h).</w:t>
      </w:r>
    </w:p>
    <w:p>
      <w:pPr>
        <w:pStyle w:val="Normal"/>
        <w:ind w:firstLine="720" w:end="0"/>
        <w:jc w:val="both"/>
        <w:rPr>
          <w:sz w:val="22"/>
          <w:szCs w:val="22"/>
        </w:rPr>
      </w:pPr>
      <w:r>
        <w:rPr>
          <w:sz w:val="22"/>
          <w:szCs w:val="22"/>
        </w:rPr>
      </w:r>
    </w:p>
    <w:p>
      <w:pPr>
        <w:pStyle w:val="Normal"/>
        <w:jc w:val="both"/>
        <w:rPr>
          <w:sz w:val="22"/>
          <w:szCs w:val="22"/>
        </w:rPr>
      </w:pPr>
      <w:r>
        <w:rPr>
          <w:b/>
          <w:bCs/>
          <w:sz w:val="22"/>
          <w:szCs w:val="22"/>
        </w:rPr>
        <w:t>5.</w:t>
      </w:r>
      <w:r>
        <w:rPr>
          <w:sz w:val="22"/>
          <w:szCs w:val="22"/>
        </w:rPr>
        <w:tab/>
      </w:r>
      <w:r>
        <w:rPr>
          <w:b/>
          <w:bCs/>
          <w:sz w:val="22"/>
          <w:szCs w:val="22"/>
        </w:rPr>
        <w:t>Cross Collateralization.</w:t>
      </w:r>
    </w:p>
    <w:p>
      <w:pPr>
        <w:pStyle w:val="Normal"/>
        <w:jc w:val="both"/>
        <w:rPr>
          <w:sz w:val="22"/>
          <w:szCs w:val="22"/>
        </w:rPr>
      </w:pPr>
      <w:r>
        <w:rPr>
          <w:sz w:val="22"/>
          <w:szCs w:val="22"/>
        </w:rPr>
      </w:r>
    </w:p>
    <w:p>
      <w:pPr>
        <w:pStyle w:val="Normal"/>
        <w:jc w:val="both"/>
        <w:rPr/>
      </w:pPr>
      <w:r>
        <w:rPr>
          <w:sz w:val="22"/>
          <w:szCs w:val="22"/>
        </w:rPr>
        <w:tab/>
        <w:t>(A)</w:t>
        <w:tab/>
      </w:r>
      <w:r>
        <w:rPr>
          <w:b/>
          <w:bCs/>
          <w:sz w:val="22"/>
          <w:szCs w:val="22"/>
        </w:rPr>
        <w:t>With Respect to Counterparty’s Obligations under the ISDA Master.</w:t>
      </w:r>
      <w:r>
        <w:rPr>
          <w:sz w:val="22"/>
          <w:szCs w:val="22"/>
        </w:rPr>
        <w:t xml:space="preserve">  Without in any manner prejudicing or otherwise limiting ECT’s rights under Section 1 of this Agreement, to secure Counterparty’s obligations under the ISDA Master and all Transactions outstanding from time to time under such Master Agreement, Counterparty hereby grants to ECT a present and continuing first-priority security interest in, and lien on, all rights, claims and interest (collectively, “Claims”) of Counterparty under the Gas Master (including proceeds therefrom), whether now or hereafter held by, on behalf of, or for the benefit of, Counterparty and Counterparty agrees to take such action as ECT reasonably requires in order to perfect its first-priority continuing security interest in, and lien on, such Claims and any and all proceeds resulting from such Claims or the liquidation thereof.</w:t>
      </w:r>
    </w:p>
    <w:p>
      <w:pPr>
        <w:pStyle w:val="Normal"/>
        <w:jc w:val="both"/>
        <w:rPr>
          <w:sz w:val="22"/>
          <w:szCs w:val="22"/>
        </w:rPr>
      </w:pPr>
      <w:r>
        <w:rPr>
          <w:sz w:val="22"/>
          <w:szCs w:val="22"/>
        </w:rPr>
      </w:r>
    </w:p>
    <w:p>
      <w:pPr>
        <w:pStyle w:val="Normal"/>
        <w:jc w:val="both"/>
        <w:rPr/>
      </w:pPr>
      <w:r>
        <w:rPr>
          <w:sz w:val="22"/>
          <w:szCs w:val="22"/>
        </w:rPr>
        <w:tab/>
        <w:t>(B)</w:t>
        <w:tab/>
      </w:r>
      <w:r>
        <w:rPr>
          <w:b/>
          <w:bCs/>
          <w:sz w:val="22"/>
          <w:szCs w:val="22"/>
        </w:rPr>
        <w:t>With Respect to Counterparty’s Obligations under the Gas Master.</w:t>
      </w:r>
      <w:r>
        <w:rPr>
          <w:sz w:val="22"/>
          <w:szCs w:val="22"/>
        </w:rPr>
        <w:t xml:space="preserve">  Without in any manner prejudicing or otherwise limiting ECT’s rights under Section 1 of this Agreement, to secure Counterparty’s obligations under the Gas Master and all Transactions outstanding from time to time under such Master Agreement, Counterparty hereby grants to ECT a present and continuing first-priority security interest in, and lien on, all Claims of Counterparty under the ISDA Master (including proceeds therefrom), whether now or hereafter held by, on behalf of, or for the benefit of, Counterparty and Counterparty agrees to take such action as ECT reasonably requires in order to perfect its first-priority continuing security interest in, and lien on, such Claims and any and all proceeds resulting from such Claims or the liquidation thereof.</w:t>
      </w:r>
    </w:p>
    <w:p>
      <w:pPr>
        <w:pStyle w:val="Normal"/>
        <w:jc w:val="both"/>
        <w:rPr>
          <w:sz w:val="22"/>
          <w:szCs w:val="22"/>
        </w:rPr>
      </w:pPr>
      <w:r>
        <w:rPr>
          <w:sz w:val="22"/>
          <w:szCs w:val="22"/>
        </w:rPr>
      </w:r>
    </w:p>
    <w:p>
      <w:pPr>
        <w:pStyle w:val="Normal"/>
        <w:jc w:val="both"/>
        <w:rPr/>
      </w:pPr>
      <w:r>
        <w:rPr>
          <w:sz w:val="22"/>
          <w:szCs w:val="22"/>
        </w:rPr>
        <w:tab/>
        <w:t>(C)</w:t>
        <w:tab/>
      </w:r>
      <w:r>
        <w:rPr>
          <w:b/>
          <w:bCs/>
          <w:sz w:val="22"/>
          <w:szCs w:val="22"/>
        </w:rPr>
        <w:t>With Respect to ECT’s Obligations under the ISDA Master.</w:t>
      </w:r>
      <w:r>
        <w:rPr>
          <w:sz w:val="22"/>
          <w:szCs w:val="22"/>
        </w:rPr>
        <w:t xml:space="preserve">  Without in any manner prejudicing or otherwise limiting Counterparty’s rights under Section 1 of this Agreement, to secure ECT’s obligations under the ISDA Master and all Transactions outstanding from time to time under such Master Agreement, ECT hereby grants to Counterparty a present and continuing first-priority security interest in, and lien on, all Claims of ECT under the Gas Master (including proceeds therefrom), whether now or hereafter held by, on behalf of, or for the benefit of, ECT and ECT agrees to take such action as Counterparty reasonably requires in order to perfect its first-priority continuing security interest in, and lien on, such Claims and any and all proceeds resulting from such Claims or the liquidation thereof.</w:t>
      </w:r>
    </w:p>
    <w:p>
      <w:pPr>
        <w:pStyle w:val="Normal"/>
        <w:jc w:val="both"/>
        <w:rPr>
          <w:sz w:val="22"/>
          <w:szCs w:val="22"/>
        </w:rPr>
      </w:pPr>
      <w:r>
        <w:rPr>
          <w:sz w:val="22"/>
          <w:szCs w:val="22"/>
        </w:rPr>
      </w:r>
    </w:p>
    <w:p>
      <w:pPr>
        <w:pStyle w:val="Normal"/>
        <w:jc w:val="both"/>
        <w:rPr/>
      </w:pPr>
      <w:r>
        <w:rPr>
          <w:sz w:val="22"/>
          <w:szCs w:val="22"/>
        </w:rPr>
        <w:tab/>
        <w:t>(D)</w:t>
        <w:tab/>
      </w:r>
      <w:r>
        <w:rPr>
          <w:b/>
          <w:bCs/>
          <w:sz w:val="22"/>
          <w:szCs w:val="22"/>
        </w:rPr>
        <w:t>With Respect to ECT’s Obligations under the Gas Master.</w:t>
      </w:r>
      <w:r>
        <w:rPr>
          <w:sz w:val="22"/>
          <w:szCs w:val="22"/>
        </w:rPr>
        <w:t xml:space="preserve">  Without in any manner prejudicing or otherwise limiting Counterparty’s rights under Section 1 of this Agreement, to secure ECT’s obligations under the Gas Master and all Transactions outstanding from time to time under such Master Agreement, ECT hereby grants to Counterparty a present and continuing first-priority security interest in, and lien on, all Claims of ECT under the ISDA Master (including proceeds therefrom), whether now or hereafter held by, on behalf of, or for the benefit of, ECT and ECT agrees to take such action as Counterparty reasonably requires in order to perfect its first-priority continuing security interest in, and lien on, such Claims and any and all proceeds resulting from such Claims or the liquidation thereof.</w:t>
      </w:r>
    </w:p>
    <w:p>
      <w:pPr>
        <w:pStyle w:val="Normal"/>
        <w:jc w:val="both"/>
        <w:rPr>
          <w:sz w:val="22"/>
          <w:szCs w:val="22"/>
        </w:rPr>
      </w:pPr>
      <w:r>
        <w:rPr>
          <w:sz w:val="22"/>
          <w:szCs w:val="22"/>
        </w:rPr>
      </w:r>
    </w:p>
    <w:p>
      <w:pPr>
        <w:pStyle w:val="Normal"/>
        <w:jc w:val="both"/>
        <w:rPr/>
      </w:pPr>
      <w:r>
        <w:rPr>
          <w:sz w:val="22"/>
          <w:szCs w:val="22"/>
        </w:rPr>
        <w:tab/>
      </w:r>
      <w:r>
        <w:rPr>
          <w:b/>
          <w:bCs/>
          <w:sz w:val="22"/>
          <w:szCs w:val="22"/>
        </w:rPr>
        <w:t>6.</w:t>
      </w:r>
      <w:r>
        <w:rPr>
          <w:sz w:val="22"/>
          <w:szCs w:val="22"/>
        </w:rPr>
        <w:tab/>
      </w:r>
      <w:r>
        <w:rPr>
          <w:b/>
          <w:bCs/>
          <w:sz w:val="22"/>
          <w:szCs w:val="22"/>
        </w:rPr>
        <w:t>Netting of Offsetting Payment Obligations.</w:t>
      </w:r>
      <w:r>
        <w:rPr>
          <w:sz w:val="22"/>
          <w:szCs w:val="22"/>
        </w:rPr>
        <w:t xml:space="preserve">  If on any date amounts would be due to one party (the “First Party”) by the other party (the “Second Party”) under the ISDA Master and amounts would be due to the Second Party by the First Party under the Gas Master in the same currency, then upon written request by either party to the other party at least two Business Days (as defined in the Gas Master) prior to such date, each party’s obligations to make payment of any such amount will be automatically satisfied and discharged and, if the aggregate amount that would otherwise have been payable by the other party, replaced by an obligation upon the party by whom the larger aggregate amount would have been payable to pay the other party the excess of the larger aggregate amount over the smaller aggregate amount.</w:t>
      </w:r>
    </w:p>
    <w:p>
      <w:pPr>
        <w:pStyle w:val="Normal"/>
        <w:jc w:val="both"/>
        <w:rPr>
          <w:sz w:val="22"/>
          <w:szCs w:val="22"/>
        </w:rPr>
      </w:pPr>
      <w:r>
        <w:rPr>
          <w:sz w:val="22"/>
          <w:szCs w:val="22"/>
        </w:rPr>
      </w:r>
    </w:p>
    <w:p>
      <w:pPr>
        <w:pStyle w:val="Normal"/>
        <w:jc w:val="both"/>
        <w:rPr>
          <w:b/>
          <w:bCs/>
          <w:sz w:val="22"/>
          <w:szCs w:val="22"/>
        </w:rPr>
      </w:pPr>
      <w:r>
        <w:rPr>
          <w:b/>
          <w:bCs/>
          <w:sz w:val="22"/>
          <w:szCs w:val="22"/>
        </w:rPr>
        <w:t>II.</w:t>
        <w:tab/>
        <w:t>MISCELLANEOUS</w:t>
      </w:r>
    </w:p>
    <w:p>
      <w:pPr>
        <w:pStyle w:val="Normal"/>
        <w:jc w:val="both"/>
        <w:rPr>
          <w:b/>
          <w:bCs/>
          <w:sz w:val="22"/>
          <w:szCs w:val="22"/>
        </w:rPr>
      </w:pPr>
      <w:r>
        <w:rPr>
          <w:b/>
          <w:bCs/>
          <w:sz w:val="22"/>
          <w:szCs w:val="22"/>
        </w:rPr>
      </w:r>
    </w:p>
    <w:p>
      <w:pPr>
        <w:pStyle w:val="Normal"/>
        <w:jc w:val="both"/>
        <w:rPr/>
      </w:pPr>
      <w:r>
        <w:rPr>
          <w:sz w:val="22"/>
          <w:szCs w:val="22"/>
        </w:rPr>
        <w:tab/>
      </w:r>
      <w:r>
        <w:rPr>
          <w:b/>
          <w:bCs/>
          <w:sz w:val="22"/>
          <w:szCs w:val="22"/>
        </w:rPr>
        <w:t>1.</w:t>
      </w:r>
      <w:r>
        <w:rPr>
          <w:sz w:val="22"/>
          <w:szCs w:val="22"/>
        </w:rPr>
        <w:tab/>
      </w:r>
      <w:r>
        <w:rPr>
          <w:b/>
          <w:bCs/>
          <w:sz w:val="22"/>
          <w:szCs w:val="22"/>
        </w:rPr>
        <w:t>THIS AGREEMENT SHALL IN ALL RESPECTS BE GOVERNED BY, AND CONSTRUED IN ACCORDANCE WITH, THE LAW OF THE PROVINCE OF ALBERTA, WITHOUT REGARD TO PRINCIPLES OF CONFLICTS OF LAWS.</w:t>
      </w:r>
    </w:p>
    <w:p>
      <w:pPr>
        <w:pStyle w:val="Normal"/>
        <w:jc w:val="both"/>
        <w:rPr>
          <w:b/>
          <w:bCs/>
          <w:sz w:val="22"/>
          <w:szCs w:val="22"/>
        </w:rPr>
      </w:pPr>
      <w:r>
        <w:rPr>
          <w:b/>
          <w:bCs/>
          <w:sz w:val="22"/>
          <w:szCs w:val="22"/>
        </w:rPr>
      </w:r>
    </w:p>
    <w:p>
      <w:pPr>
        <w:pStyle w:val="Normal"/>
        <w:jc w:val="both"/>
        <w:rPr/>
      </w:pPr>
      <w:r>
        <w:rPr>
          <w:sz w:val="22"/>
          <w:szCs w:val="22"/>
        </w:rPr>
        <w:tab/>
      </w:r>
      <w:r>
        <w:rPr>
          <w:b/>
          <w:bCs/>
          <w:sz w:val="22"/>
          <w:szCs w:val="22"/>
        </w:rPr>
        <w:t>2.</w:t>
      </w:r>
      <w:r>
        <w:rPr>
          <w:sz w:val="22"/>
          <w:szCs w:val="22"/>
        </w:rPr>
        <w:tab/>
        <w:t>ECT represents and warrants to Counterparty that:</w:t>
      </w:r>
    </w:p>
    <w:p>
      <w:pPr>
        <w:pStyle w:val="Normal"/>
        <w:jc w:val="both"/>
        <w:rPr>
          <w:sz w:val="22"/>
          <w:szCs w:val="22"/>
        </w:rPr>
      </w:pPr>
      <w:r>
        <w:rPr>
          <w:sz w:val="22"/>
          <w:szCs w:val="22"/>
        </w:rPr>
      </w:r>
    </w:p>
    <w:p>
      <w:pPr>
        <w:pStyle w:val="Normal"/>
        <w:jc w:val="both"/>
        <w:rPr>
          <w:sz w:val="22"/>
          <w:szCs w:val="22"/>
        </w:rPr>
      </w:pPr>
      <w:r>
        <w:rPr>
          <w:sz w:val="22"/>
          <w:szCs w:val="22"/>
        </w:rPr>
        <w:tab/>
        <w:t>(A)</w:t>
        <w:tab/>
        <w:t>it is duly incorporated and validly existing under the laws of the jurisdiction of its incorporation and has the corporate power and authority to execute, deliver and carry out the terms and provisions of this Agreement;</w:t>
      </w:r>
    </w:p>
    <w:p>
      <w:pPr>
        <w:pStyle w:val="Normal"/>
        <w:jc w:val="both"/>
        <w:rPr>
          <w:sz w:val="22"/>
          <w:szCs w:val="22"/>
        </w:rPr>
      </w:pPr>
      <w:r>
        <w:rPr>
          <w:sz w:val="22"/>
          <w:szCs w:val="22"/>
        </w:rPr>
      </w:r>
    </w:p>
    <w:p>
      <w:pPr>
        <w:pStyle w:val="Normal"/>
        <w:jc w:val="both"/>
        <w:rPr>
          <w:sz w:val="22"/>
          <w:szCs w:val="22"/>
        </w:rPr>
      </w:pPr>
      <w:r>
        <w:rPr>
          <w:sz w:val="22"/>
          <w:szCs w:val="22"/>
        </w:rPr>
        <w:tab/>
        <w:t>(B)</w:t>
        <w:tab/>
        <w:t>performance of this Agreement does not and will not violate or conflict with its charter or bylaws, any law or order of any court or other agency of government applicable to it, or any agreement to which it is a party or by which it or any of its property is bound; and</w:t>
      </w:r>
    </w:p>
    <w:p>
      <w:pPr>
        <w:pStyle w:val="Normal"/>
        <w:jc w:val="both"/>
        <w:rPr>
          <w:sz w:val="22"/>
          <w:szCs w:val="22"/>
        </w:rPr>
      </w:pPr>
      <w:r>
        <w:rPr>
          <w:sz w:val="22"/>
          <w:szCs w:val="22"/>
        </w:rPr>
      </w:r>
    </w:p>
    <w:p>
      <w:pPr>
        <w:pStyle w:val="Normal"/>
        <w:jc w:val="both"/>
        <w:rPr>
          <w:sz w:val="22"/>
          <w:szCs w:val="22"/>
        </w:rPr>
      </w:pPr>
      <w:r>
        <w:rPr>
          <w:sz w:val="22"/>
          <w:szCs w:val="22"/>
        </w:rPr>
        <w:tab/>
        <w:t>(C)</w:t>
        <w:tab/>
        <w:t>this Agreement constitutes its legal, valid and binding obligation except as the enforceability of this Agreement may be limited by the effect of any applicable bankruptcy, insolvency, reorganization, moratorium or similar laws affecting creditors’ rights generally and by general principles of equity.</w:t>
      </w:r>
    </w:p>
    <w:p>
      <w:pPr>
        <w:pStyle w:val="Normal"/>
        <w:jc w:val="both"/>
        <w:rPr>
          <w:sz w:val="22"/>
          <w:szCs w:val="22"/>
        </w:rPr>
      </w:pPr>
      <w:r>
        <w:rPr>
          <w:sz w:val="22"/>
          <w:szCs w:val="22"/>
        </w:rPr>
      </w:r>
    </w:p>
    <w:p>
      <w:pPr>
        <w:pStyle w:val="Normal"/>
        <w:jc w:val="both"/>
        <w:rPr/>
      </w:pPr>
      <w:r>
        <w:rPr>
          <w:sz w:val="22"/>
          <w:szCs w:val="22"/>
        </w:rPr>
        <w:tab/>
      </w:r>
      <w:r>
        <w:rPr>
          <w:b/>
          <w:bCs/>
          <w:sz w:val="22"/>
          <w:szCs w:val="22"/>
        </w:rPr>
        <w:t>3.</w:t>
      </w:r>
      <w:r>
        <w:rPr>
          <w:sz w:val="22"/>
          <w:szCs w:val="22"/>
        </w:rPr>
        <w:tab/>
        <w:t>Counterparty represents and warrants to ECT that:</w:t>
      </w:r>
    </w:p>
    <w:p>
      <w:pPr>
        <w:pStyle w:val="Normal"/>
        <w:jc w:val="both"/>
        <w:rPr>
          <w:sz w:val="22"/>
          <w:szCs w:val="22"/>
        </w:rPr>
      </w:pPr>
      <w:r>
        <w:rPr>
          <w:sz w:val="22"/>
          <w:szCs w:val="22"/>
        </w:rPr>
      </w:r>
    </w:p>
    <w:p>
      <w:pPr>
        <w:pStyle w:val="Normal"/>
        <w:jc w:val="both"/>
        <w:rPr>
          <w:sz w:val="22"/>
          <w:szCs w:val="22"/>
        </w:rPr>
      </w:pPr>
      <w:r>
        <w:rPr>
          <w:sz w:val="22"/>
          <w:szCs w:val="22"/>
        </w:rPr>
        <w:tab/>
        <w:t>(A)</w:t>
        <w:tab/>
        <w:t>it is duly constituted and validly existing partnership under the laws of Alberta and has the power and authority to execute, deliver and carry out the terms and provisions of this Agreement;</w:t>
      </w:r>
    </w:p>
    <w:p>
      <w:pPr>
        <w:pStyle w:val="Normal"/>
        <w:jc w:val="both"/>
        <w:rPr>
          <w:sz w:val="22"/>
          <w:szCs w:val="22"/>
        </w:rPr>
      </w:pPr>
      <w:r>
        <w:rPr>
          <w:sz w:val="22"/>
          <w:szCs w:val="22"/>
        </w:rPr>
      </w:r>
    </w:p>
    <w:p>
      <w:pPr>
        <w:pStyle w:val="Normal"/>
        <w:jc w:val="both"/>
        <w:rPr>
          <w:sz w:val="22"/>
          <w:szCs w:val="22"/>
        </w:rPr>
      </w:pPr>
      <w:r>
        <w:rPr>
          <w:sz w:val="22"/>
          <w:szCs w:val="22"/>
        </w:rPr>
        <w:tab/>
        <w:t>(B)</w:t>
        <w:tab/>
        <w:t>each of its partners is duly incorporated and validly existing under the laws of the jurisdiction of its incorporation and has the corporate power and authority to execute, deliver and carry out the terms and provisions of this Agreement;</w:t>
      </w:r>
    </w:p>
    <w:p>
      <w:pPr>
        <w:pStyle w:val="Normal"/>
        <w:jc w:val="both"/>
        <w:rPr>
          <w:sz w:val="22"/>
          <w:szCs w:val="22"/>
        </w:rPr>
      </w:pPr>
      <w:r>
        <w:rPr>
          <w:sz w:val="22"/>
          <w:szCs w:val="22"/>
        </w:rPr>
      </w:r>
    </w:p>
    <w:p>
      <w:pPr>
        <w:pStyle w:val="Normal"/>
        <w:jc w:val="both"/>
        <w:rPr>
          <w:sz w:val="22"/>
          <w:szCs w:val="22"/>
        </w:rPr>
      </w:pPr>
      <w:r>
        <w:rPr>
          <w:sz w:val="22"/>
          <w:szCs w:val="22"/>
        </w:rPr>
        <w:tab/>
        <w:t>(C)</w:t>
        <w:tab/>
        <w:t>performance of this Agreement by Counterparty does not and will no violate or conflict with its partnership agreement or other governing documents, the charter or bylaws of its partners, any law or order of any court or other agency of government applicable to it or its partners, or any agreement to which it or its partners is a party or by which it, its partners or any of its or their property is bound; and</w:t>
      </w:r>
    </w:p>
    <w:p>
      <w:pPr>
        <w:pStyle w:val="Normal"/>
        <w:jc w:val="both"/>
        <w:rPr>
          <w:sz w:val="22"/>
          <w:szCs w:val="22"/>
        </w:rPr>
      </w:pPr>
      <w:r>
        <w:rPr>
          <w:sz w:val="22"/>
          <w:szCs w:val="22"/>
        </w:rPr>
      </w:r>
    </w:p>
    <w:p>
      <w:pPr>
        <w:pStyle w:val="Normal"/>
        <w:jc w:val="both"/>
        <w:rPr>
          <w:sz w:val="22"/>
          <w:szCs w:val="22"/>
        </w:rPr>
      </w:pPr>
      <w:r>
        <w:rPr>
          <w:sz w:val="22"/>
          <w:szCs w:val="22"/>
        </w:rPr>
        <w:tab/>
        <w:t>(D)</w:t>
        <w:tab/>
        <w:t>this Agreement constitutes its legal, valid and binding obligation except as the enforceability of this Agreement may be limited by the effect of any applicable bankruptcy, insolvency, reorganization, moratorium or similar laws affecting creditors’ rights generally and by general principles of equity.</w:t>
      </w:r>
    </w:p>
    <w:p>
      <w:pPr>
        <w:pStyle w:val="Normal"/>
        <w:jc w:val="both"/>
        <w:rPr>
          <w:sz w:val="22"/>
          <w:szCs w:val="22"/>
        </w:rPr>
      </w:pPr>
      <w:r>
        <w:rPr>
          <w:sz w:val="22"/>
          <w:szCs w:val="22"/>
        </w:rPr>
      </w:r>
    </w:p>
    <w:p>
      <w:pPr>
        <w:pStyle w:val="Normal"/>
        <w:jc w:val="both"/>
        <w:rPr/>
      </w:pPr>
      <w:r>
        <w:rPr>
          <w:sz w:val="22"/>
          <w:szCs w:val="22"/>
        </w:rPr>
        <w:tab/>
      </w:r>
      <w:r>
        <w:rPr>
          <w:b/>
          <w:bCs/>
          <w:sz w:val="22"/>
          <w:szCs w:val="22"/>
        </w:rPr>
        <w:t>4.</w:t>
      </w:r>
      <w:r>
        <w:rPr>
          <w:sz w:val="22"/>
          <w:szCs w:val="22"/>
        </w:rPr>
        <w:tab/>
        <w:t>Any and all references to the ISDA Master and Gas Master shall hereafter refer to the ISDA Master and Gas Master, as amended by this Agreement.  The provisions of this Agreement shall apply to any and all Transactions under the ISDA Master and the Gas Master.  This Agreement is a Credit Support Document for al purposes under the ISDA Master.</w:t>
      </w:r>
    </w:p>
    <w:p>
      <w:pPr>
        <w:pStyle w:val="Normal"/>
        <w:jc w:val="both"/>
        <w:rPr>
          <w:sz w:val="22"/>
          <w:szCs w:val="22"/>
        </w:rPr>
      </w:pPr>
      <w:r>
        <w:rPr>
          <w:sz w:val="22"/>
          <w:szCs w:val="22"/>
        </w:rPr>
      </w:r>
    </w:p>
    <w:p>
      <w:pPr>
        <w:pStyle w:val="Normal"/>
        <w:jc w:val="both"/>
        <w:rPr/>
      </w:pPr>
      <w:r>
        <w:rPr>
          <w:sz w:val="22"/>
          <w:szCs w:val="22"/>
        </w:rPr>
        <w:tab/>
      </w:r>
      <w:r>
        <w:rPr>
          <w:b/>
          <w:bCs/>
          <w:sz w:val="22"/>
          <w:szCs w:val="22"/>
        </w:rPr>
        <w:t>5.</w:t>
      </w:r>
      <w:r>
        <w:rPr>
          <w:sz w:val="22"/>
          <w:szCs w:val="22"/>
        </w:rPr>
        <w:tab/>
        <w:t>All Transactions entered into under either the ISDA Master and the Gas Master are entered into in reliance of the fact that the ISDA Master and the Gas Master, together with each Transaction entered into from time to time under those Agreements, all as modified and supplemented by this Agreement, form a single agreement between the parties, and the parties would not otherwise enter into any Transactions.</w:t>
      </w:r>
    </w:p>
    <w:p>
      <w:pPr>
        <w:pStyle w:val="Normal"/>
        <w:jc w:val="both"/>
        <w:rPr>
          <w:sz w:val="22"/>
          <w:szCs w:val="22"/>
        </w:rPr>
      </w:pPr>
      <w:r>
        <w:rPr>
          <w:sz w:val="22"/>
          <w:szCs w:val="22"/>
        </w:rPr>
      </w:r>
    </w:p>
    <w:p>
      <w:pPr>
        <w:pStyle w:val="Normal"/>
        <w:jc w:val="both"/>
        <w:rPr/>
      </w:pPr>
      <w:r>
        <w:rPr>
          <w:sz w:val="22"/>
          <w:szCs w:val="22"/>
        </w:rPr>
        <w:tab/>
      </w:r>
      <w:r>
        <w:rPr>
          <w:b/>
          <w:bCs/>
          <w:sz w:val="22"/>
          <w:szCs w:val="22"/>
        </w:rPr>
        <w:t>6.</w:t>
      </w:r>
      <w:r>
        <w:rPr>
          <w:sz w:val="22"/>
          <w:szCs w:val="22"/>
        </w:rPr>
        <w:tab/>
        <w:t>Except as amended by this Agreement, both of the Master Agreements shall remain in full force and effect.  The rights of the parties under this Agreement shall be in addition to, and not in limitation or exclusion of, any other rights which they may have (whether by agreement, operation of law or otherwise).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legality and enforceability of such and any other provisions under the law of any other jurisdiction, shall not in any way be affected or impaired thereby.</w:t>
      </w:r>
    </w:p>
    <w:p>
      <w:pPr>
        <w:pStyle w:val="Normal"/>
        <w:jc w:val="both"/>
        <w:rPr>
          <w:sz w:val="22"/>
          <w:szCs w:val="22"/>
        </w:rPr>
      </w:pPr>
      <w:r>
        <w:rPr>
          <w:sz w:val="22"/>
          <w:szCs w:val="22"/>
        </w:rPr>
      </w:r>
    </w:p>
    <w:p>
      <w:pPr>
        <w:pStyle w:val="Normal"/>
        <w:jc w:val="both"/>
        <w:rPr/>
      </w:pPr>
      <w:r>
        <w:rPr>
          <w:sz w:val="22"/>
          <w:szCs w:val="22"/>
        </w:rPr>
        <w:tab/>
      </w:r>
      <w:r>
        <w:rPr>
          <w:b/>
          <w:bCs/>
          <w:sz w:val="22"/>
          <w:szCs w:val="22"/>
        </w:rPr>
        <w:t>7.</w:t>
      </w:r>
      <w:r>
        <w:rPr>
          <w:sz w:val="22"/>
          <w:szCs w:val="22"/>
        </w:rPr>
        <w:tab/>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Normal"/>
        <w:jc w:val="both"/>
        <w:rPr>
          <w:sz w:val="22"/>
          <w:szCs w:val="22"/>
        </w:rPr>
      </w:pPr>
      <w:r>
        <w:rPr>
          <w:sz w:val="22"/>
          <w:szCs w:val="22"/>
        </w:rPr>
      </w:r>
    </w:p>
    <w:p>
      <w:pPr>
        <w:pStyle w:val="Normal"/>
        <w:jc w:val="both"/>
        <w:rPr/>
      </w:pPr>
      <w:r>
        <w:rPr>
          <w:sz w:val="22"/>
          <w:szCs w:val="22"/>
        </w:rPr>
        <w:tab/>
      </w:r>
      <w:r>
        <w:rPr>
          <w:b/>
          <w:bCs/>
          <w:sz w:val="22"/>
          <w:szCs w:val="22"/>
        </w:rPr>
        <w:t>IN WITNESS WHEREOF,</w:t>
      </w:r>
      <w:r>
        <w:rPr>
          <w:sz w:val="22"/>
          <w:szCs w:val="22"/>
        </w:rPr>
        <w:t xml:space="preserve"> the parties hereto have caused this Agreement to be executed in multiple originals on __________, 1997, but effective as of the date first written above.</w:t>
      </w:r>
    </w:p>
    <w:p>
      <w:pPr>
        <w:pStyle w:val="Normal"/>
        <w:jc w:val="both"/>
        <w:rPr>
          <w:sz w:val="22"/>
          <w:szCs w:val="22"/>
        </w:rPr>
      </w:pPr>
      <w:r>
        <w:rPr>
          <w:sz w:val="22"/>
          <w:szCs w:val="22"/>
        </w:rPr>
      </w:r>
    </w:p>
    <w:p>
      <w:pPr>
        <w:pStyle w:val="Normal"/>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CAPITAL &amp; TRADE RESOURCES CANADA CORP.</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CANADIAN NATURAL RESOURCES, by its General Partner, CANADIAN NATURAL RESOURCES LIMITED</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rPr>
          <w:sz w:val="22"/>
          <w:szCs w:val="22"/>
        </w:rPr>
      </w:pPr>
      <w:r>
        <w:rPr>
          <w:sz w:val="22"/>
          <w:szCs w:val="22"/>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/mnt/main-storage/datasets/enron-docs/doc/Netagmt.doc</w:t>
    </w:r>
    <w:r>
      <w:rPr>
        <w:sz w:val="12"/>
        <w:szCs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1997-10-15T20:09:00Z</dcterms:created>
  <dc:creator>ECT</dc:creator>
  <dc:description/>
  <dc:language>en-CA</dc:language>
  <cp:lastModifiedBy>ECT</cp:lastModifiedBy>
  <cp:lastPrinted>1997-10-16T16:20:00Z</cp:lastPrinted>
  <dcterms:modified xsi:type="dcterms:W3CDTF">1997-10-16T18:51:00Z</dcterms:modified>
  <cp:revision>53</cp:revision>
  <dc:subject/>
  <dc:title/>
</cp:coreProperties>
</file>