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r>
    </w:p>
    <w:p>
      <w:pPr>
        <w:pStyle w:val="Heading"/>
        <w:jc w:val="start"/>
        <w:rPr>
          <w:b w:val="false"/>
          <w:u w:val="none"/>
        </w:rPr>
      </w:pPr>
      <w:r>
        <w:rPr>
          <w:b w:val="false"/>
          <w:u w:val="none"/>
        </w:rPr>
      </w:r>
    </w:p>
    <w:p>
      <w:pPr>
        <w:pStyle w:val="Heading"/>
        <w:jc w:val="start"/>
        <w:rPr>
          <w:b w:val="false"/>
          <w:u w:val="none"/>
        </w:rPr>
      </w:pPr>
      <w:r>
        <w:rPr>
          <w:b w:val="false"/>
          <w:u w:val="none"/>
        </w:rPr>
      </w:r>
    </w:p>
    <w:p>
      <w:pPr>
        <w:pStyle w:val="Heading"/>
        <w:jc w:val="start"/>
        <w:rPr>
          <w:b w:val="false"/>
          <w:u w:val="none"/>
        </w:rPr>
      </w:pPr>
      <w:r>
        <w:rPr>
          <w:b w:val="false"/>
          <w:u w:val="none"/>
        </w:rPr>
        <w:t>October 24, 2001</w:t>
      </w:r>
    </w:p>
    <w:p>
      <w:pPr>
        <w:pStyle w:val="Heading"/>
        <w:jc w:val="start"/>
        <w:rPr>
          <w:b w:val="false"/>
          <w:u w:val="none"/>
        </w:rPr>
      </w:pPr>
      <w:r>
        <w:rPr>
          <w:b w:val="false"/>
          <w:u w:val="none"/>
        </w:rPr>
      </w:r>
    </w:p>
    <w:p>
      <w:pPr>
        <w:pStyle w:val="Heading"/>
        <w:jc w:val="start"/>
        <w:rPr>
          <w:b w:val="false"/>
          <w:u w:val="none"/>
        </w:rPr>
      </w:pPr>
      <w:r>
        <w:rPr>
          <w:b w:val="false"/>
          <w:u w:val="none"/>
        </w:rPr>
        <w:t>ENRON RESERVE ACQUISTION CORP</w:t>
      </w:r>
    </w:p>
    <w:p>
      <w:pPr>
        <w:pStyle w:val="Normal"/>
        <w:keepNext w:val="true"/>
        <w:keepLines/>
        <w:tabs>
          <w:tab w:val="clear" w:pos="720"/>
          <w:tab w:val="left" w:pos="-1440" w:leader="none"/>
          <w:tab w:val="left" w:pos="-720" w:leader="none"/>
          <w:tab w:val="left" w:pos="1428" w:leader="none"/>
          <w:tab w:val="left" w:pos="3570" w:leader="none"/>
        </w:tabs>
        <w:jc w:val="both"/>
        <w:rPr>
          <w:sz w:val="19"/>
        </w:rPr>
      </w:pPr>
      <w:r>
        <w:rPr>
          <w:sz w:val="24"/>
        </w:rPr>
        <w:t>1400 Smith Street</w:t>
      </w:r>
    </w:p>
    <w:p>
      <w:pPr>
        <w:pStyle w:val="Normal"/>
        <w:keepNext w:val="true"/>
        <w:keepLines/>
        <w:tabs>
          <w:tab w:val="clear" w:pos="720"/>
          <w:tab w:val="left" w:pos="-1440" w:leader="none"/>
          <w:tab w:val="left" w:pos="-720" w:leader="none"/>
          <w:tab w:val="left" w:pos="1428" w:leader="none"/>
          <w:tab w:val="left" w:pos="3570" w:leader="none"/>
        </w:tabs>
        <w:jc w:val="both"/>
        <w:rPr>
          <w:sz w:val="24"/>
        </w:rPr>
      </w:pPr>
      <w:r>
        <w:rPr>
          <w:sz w:val="24"/>
        </w:rPr>
        <w:t>Houston, TX  77002</w:t>
      </w:r>
    </w:p>
    <w:p>
      <w:pPr>
        <w:pStyle w:val="Heading"/>
        <w:rPr>
          <w:sz w:val="24"/>
        </w:rPr>
      </w:pPr>
      <w:r>
        <w:rPr>
          <w:sz w:val="24"/>
        </w:rPr>
      </w:r>
    </w:p>
    <w:p>
      <w:pPr>
        <w:pStyle w:val="Heading"/>
        <w:rPr/>
      </w:pPr>
      <w:r>
        <w:rPr/>
        <w:t>Net Settlement Agreement</w:t>
      </w:r>
    </w:p>
    <w:p>
      <w:pPr>
        <w:pStyle w:val="Normal"/>
        <w:rPr>
          <w:sz w:val="24"/>
        </w:rPr>
      </w:pPr>
      <w:r>
        <w:rPr>
          <w:sz w:val="24"/>
        </w:rPr>
      </w:r>
    </w:p>
    <w:p>
      <w:pPr>
        <w:pStyle w:val="Normal"/>
        <w:rPr/>
      </w:pPr>
      <w:r>
        <w:rPr>
          <w:sz w:val="24"/>
        </w:rPr>
        <w:t xml:space="preserve">For the mutual promises contained herein and other good and valuable consideration, the receipt and sufficiency of which is hereby acknowledged, </w:t>
      </w:r>
      <w:r>
        <w:rPr>
          <w:b/>
          <w:sz w:val="24"/>
        </w:rPr>
        <w:t>Valero Marketing and Supply</w:t>
      </w:r>
      <w:r>
        <w:rPr>
          <w:sz w:val="24"/>
        </w:rPr>
        <w:t xml:space="preserve"> </w:t>
      </w:r>
      <w:r>
        <w:rPr>
          <w:b/>
          <w:sz w:val="24"/>
        </w:rPr>
        <w:t>Co.</w:t>
      </w:r>
      <w:r>
        <w:rPr>
          <w:sz w:val="24"/>
        </w:rPr>
        <w:t xml:space="preserve"> (“Valero”) and Enron Reserve Acquisition Corp (“ERAC”) enter into this net settlement agreement (this “Agreement”) to establish set off procedures which will be followed effective with all deliveries made on and after October 1, 2001.  This Agreement supplements and is cumulative of all purchase orders, invoices, contracts, and other instruments which exist now or hereafter by and between Valero and ERAC.</w:t>
      </w:r>
    </w:p>
    <w:p>
      <w:pPr>
        <w:pStyle w:val="Normal"/>
        <w:rPr>
          <w:sz w:val="24"/>
        </w:rPr>
      </w:pPr>
      <w:r>
        <w:rPr>
          <w:sz w:val="24"/>
        </w:rPr>
      </w:r>
    </w:p>
    <w:p>
      <w:pPr>
        <w:pStyle w:val="Normal"/>
        <w:rPr>
          <w:sz w:val="24"/>
        </w:rPr>
      </w:pPr>
      <w:r>
        <w:rPr>
          <w:sz w:val="24"/>
        </w:rPr>
        <w:t>To simplify the settling of accounts between Valero and ERAC in connection with their contractual buy-sell arrangement(s), the parties hereto agree as follows:</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Amounts owed to Valero by ERAC as a result of each sale to ERAC of crude oil shall be set off against any amounts owed to ERAC by Valero as a result of other transactions regarding crude oil.</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Amounts owed to ERAC by Valero as a result of each sale to Valero of crude oil shall be set off against any amounts owed to Valero by ERAC as a result of other transactions regarding crude oil.</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Each set off shall be effective as the debts are incurred regardless of whether one party or both parties fail to enter the set off on its books and records on such date or whether notice of such set off is provided to the other party.   No failure on the part of ERAC or Valero to provide notice of exercise of such right of set off or otherwise will affect any right of the parties under this Agreement.</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The net balance due and owing on the last day of the calendar month in which deliveries are made and the debts set off, shall be payable on the 20</w:t>
      </w:r>
      <w:r>
        <w:rPr>
          <w:sz w:val="24"/>
          <w:vertAlign w:val="superscript"/>
        </w:rPr>
        <w:t>th</w:t>
      </w:r>
      <w:r>
        <w:rPr>
          <w:sz w:val="24"/>
        </w:rPr>
        <w:t xml:space="preserve"> day of the following month (the “Transfer Date”), by wire transfer of immediately available funds.  Should the 20</w:t>
      </w:r>
      <w:r>
        <w:rPr>
          <w:sz w:val="24"/>
          <w:vertAlign w:val="superscript"/>
        </w:rPr>
        <w:t>th</w:t>
      </w:r>
      <w:r>
        <w:rPr>
          <w:sz w:val="24"/>
        </w:rPr>
        <w:t xml:space="preserve"> fall on a Saturday or non-Monday bank holiday, payment shall be made the preceding business day.  Payments due on Sunday, or a bank holiday which falls on Monday, shall be made the following business day.</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Though each party may elect to invoice the other party in gross amounts for accounting purposes, the only invoice required pursuant to paragraph 4 of this Agreement is the invoice from the owed party to the owing party for the net amount due.</w:t>
      </w:r>
    </w:p>
    <w:p>
      <w:pPr>
        <w:pStyle w:val="Normal"/>
        <w:rPr>
          <w:sz w:val="24"/>
        </w:rPr>
      </w:pPr>
      <w:r>
        <w:rPr>
          <w:sz w:val="24"/>
        </w:rPr>
      </w:r>
    </w:p>
    <w:p>
      <w:pPr>
        <w:pStyle w:val="Normal"/>
        <w:ind w:start="360" w:end="0"/>
        <w:rPr>
          <w:sz w:val="24"/>
        </w:rPr>
      </w:pPr>
      <w:r>
        <w:rPr>
          <w:sz w:val="24"/>
        </w:rPr>
      </w:r>
    </w:p>
    <w:p>
      <w:pPr>
        <w:pStyle w:val="Normal"/>
        <w:rPr>
          <w:sz w:val="24"/>
        </w:rPr>
      </w:pPr>
      <w:r>
        <w:rPr>
          <w:sz w:val="24"/>
        </w:rPr>
        <w:t>Valero/ERAC Net Settlement</w:t>
      </w:r>
    </w:p>
    <w:p>
      <w:pPr>
        <w:pStyle w:val="Normal"/>
        <w:rPr>
          <w:sz w:val="24"/>
        </w:rPr>
      </w:pPr>
      <w:r>
        <w:rPr>
          <w:sz w:val="24"/>
        </w:rPr>
        <w:t>Effective October 1, 2001</w:t>
      </w:r>
    </w:p>
    <w:p>
      <w:pPr>
        <w:pStyle w:val="Normal"/>
        <w:rPr>
          <w:sz w:val="24"/>
        </w:rPr>
      </w:pPr>
      <w:r>
        <w:rPr>
          <w:sz w:val="24"/>
        </w:rPr>
        <w:t>Page 2</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The parties agree to confirm the net balance due and owing on the Transfer Date by telephone communication between the parties, at least one day prior to the Transfer Date.</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Items in dispute, such as quantity, quality or price, may be included in the net balance due, subject to adjustment in the next succeeding calendar month.  If the parties cannot agree on the amount of adjustment, either party may exclude the amount in dispute from the current month’s set off and pursue resolution independently of this Agreement.</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The rights and remedies afforded under this Agreement are cumulative and the exercise or partial exercise of any such right or remedy shall not preclude the assertion of any other rights available at law or equity, including the right of recoupment, which is expressly acknowledged.</w:t>
      </w:r>
    </w:p>
    <w:p>
      <w:pPr>
        <w:pStyle w:val="Normal"/>
        <w:rPr>
          <w:sz w:val="24"/>
        </w:rPr>
      </w:pPr>
      <w:r>
        <w:rPr>
          <w:sz w:val="24"/>
        </w:rPr>
      </w:r>
    </w:p>
    <w:p>
      <w:pPr>
        <w:pStyle w:val="Normal"/>
        <w:rPr>
          <w:sz w:val="24"/>
        </w:rPr>
      </w:pPr>
      <w:r>
        <w:rPr>
          <w:sz w:val="24"/>
        </w:rPr>
        <w:t>This Agreement shall be effective October 1, 2001 and supersedes all other previous netting agreements, if any and all other payment terms contained in existing contract(s) and agreement(s) regarding crude oil unless specifically excluded.  All other terms and conditions of such contract(s) and agreement(s) and their amendments, if any, remain in full force and effect.</w:t>
      </w:r>
    </w:p>
    <w:p>
      <w:pPr>
        <w:pStyle w:val="Normal"/>
        <w:rPr>
          <w:sz w:val="24"/>
        </w:rPr>
      </w:pPr>
      <w:r>
        <w:rPr>
          <w:sz w:val="24"/>
        </w:rPr>
      </w:r>
    </w:p>
    <w:p>
      <w:pPr>
        <w:pStyle w:val="Normal"/>
        <w:rPr>
          <w:sz w:val="24"/>
        </w:rPr>
      </w:pPr>
      <w:r>
        <w:rPr>
          <w:sz w:val="24"/>
        </w:rPr>
        <w:t>No amendment of this Agreement shall be made unless in writing and signed by both parties.  Valero and ERAC each have the right to terminate this Agreement by giving at least thirty (30) days prior written notice thereof to the other party.  Such termination shall affect only the netting arrangement provided by this Agreement, and shall have no effect upon the other terms and conditions contained within the purchase, sale, or exchange contract(s) and agreement(s) themselves.  The parties agree that termination of this Agreement shall not cancel the netting arrangement for obligations or transactions which occur prior to the termination date, unless the parties agree in writing to the contrary.</w:t>
      </w:r>
    </w:p>
    <w:p>
      <w:pPr>
        <w:pStyle w:val="Normal"/>
        <w:rPr>
          <w:sz w:val="24"/>
        </w:rPr>
      </w:pPr>
      <w:r>
        <w:rPr>
          <w:sz w:val="24"/>
        </w:rPr>
      </w:r>
    </w:p>
    <w:p>
      <w:pPr>
        <w:pStyle w:val="Normal"/>
        <w:rPr>
          <w:sz w:val="24"/>
        </w:rPr>
      </w:pPr>
      <w:r>
        <w:rPr>
          <w:sz w:val="24"/>
        </w:rPr>
        <w:t>This Agreement shall be construed and enforced in accordance with the laws of the State of Texas.</w:t>
      </w:r>
    </w:p>
    <w:p>
      <w:pPr>
        <w:pStyle w:val="Normal"/>
        <w:rPr>
          <w:sz w:val="24"/>
        </w:rPr>
      </w:pPr>
      <w:r>
        <w:rPr>
          <w:sz w:val="24"/>
        </w:rPr>
      </w:r>
    </w:p>
    <w:p>
      <w:pPr>
        <w:pStyle w:val="Normal"/>
        <w:rPr/>
      </w:pPr>
      <w:r>
        <w:rPr>
          <w:sz w:val="24"/>
        </w:rPr>
        <w:tab/>
        <w:tab/>
        <w:tab/>
        <w:tab/>
        <w:tab/>
        <w:tab/>
      </w:r>
      <w:r>
        <w:rPr>
          <w:b/>
          <w:sz w:val="24"/>
        </w:rPr>
        <w:t>Agreed and Accepted</w:t>
      </w:r>
    </w:p>
    <w:p>
      <w:pPr>
        <w:pStyle w:val="Normal"/>
        <w:rPr>
          <w:b/>
          <w:sz w:val="24"/>
        </w:rPr>
      </w:pPr>
      <w:r>
        <w:rPr>
          <w:b/>
          <w:sz w:val="24"/>
        </w:rPr>
        <w:t>Valero Marketing and Supply</w:t>
        <w:tab/>
        <w:tab/>
        <w:t>Enron Reserve Acquisition Corp</w:t>
      </w:r>
    </w:p>
    <w:p>
      <w:pPr>
        <w:pStyle w:val="Normal"/>
        <w:rPr>
          <w:b/>
          <w:sz w:val="24"/>
        </w:rPr>
      </w:pPr>
      <w:r>
        <w:rPr>
          <w:b/>
          <w:sz w:val="24"/>
        </w:rPr>
      </w:r>
    </w:p>
    <w:p>
      <w:pPr>
        <w:pStyle w:val="BodyText"/>
        <w:rPr>
          <w:b/>
        </w:rPr>
      </w:pPr>
      <w:r>
        <w:rPr>
          <w:b/>
        </w:rPr>
        <w:t>By:    _____________________                  By:  ______________________________</w:t>
      </w:r>
    </w:p>
    <w:p>
      <w:pPr>
        <w:pStyle w:val="Normal"/>
        <w:rPr>
          <w:b/>
          <w:sz w:val="24"/>
        </w:rPr>
      </w:pPr>
      <w:r>
        <w:rPr>
          <w:b/>
          <w:sz w:val="24"/>
        </w:rPr>
        <w:tab/>
        <w:t xml:space="preserve">          </w:t>
      </w:r>
    </w:p>
    <w:p>
      <w:pPr>
        <w:pStyle w:val="Heading1"/>
        <w:ind w:hanging="0" w:start="0"/>
        <w:rPr/>
      </w:pPr>
      <w:r>
        <w:rPr/>
        <w:t>Title:  ____________________                Title: _____________________________</w:t>
      </w:r>
    </w:p>
    <w:p>
      <w:pPr>
        <w:pStyle w:val="Normal"/>
        <w:rPr>
          <w:b/>
          <w:sz w:val="24"/>
        </w:rPr>
      </w:pPr>
      <w:r>
        <w:rPr>
          <w:b/>
          <w:sz w:val="24"/>
        </w:rPr>
      </w:r>
    </w:p>
    <w:p>
      <w:pPr>
        <w:pStyle w:val="Normal"/>
        <w:rPr>
          <w:b/>
          <w:sz w:val="24"/>
        </w:rPr>
      </w:pPr>
      <w:r>
        <w:rPr>
          <w:b/>
          <w:sz w:val="24"/>
        </w:rPr>
        <w:t xml:space="preserve">Date:  _____________________                Date: _____________________________  </w:t>
      </w:r>
    </w:p>
    <w:p>
      <w:pPr>
        <w:pStyle w:val="Normal"/>
        <w:rPr>
          <w:b/>
          <w:sz w:val="24"/>
        </w:rPr>
      </w:pPr>
      <w:r>
        <w:rPr>
          <w:b/>
          <w:sz w:val="24"/>
        </w:rPr>
        <w:t xml:space="preserve"> </w:t>
      </w:r>
    </w:p>
    <w:p>
      <w:pPr>
        <w:pStyle w:val="Normal"/>
        <w:rPr>
          <w:b/>
          <w:sz w:val="24"/>
        </w:rPr>
      </w:pPr>
      <w:r>
        <w:rPr>
          <w:b/>
          <w:sz w:val="24"/>
        </w:rPr>
      </w:r>
    </w:p>
    <w:p>
      <w:pPr>
        <w:pStyle w:val="Normal"/>
        <w:rPr>
          <w:sz w:val="24"/>
        </w:rPr>
      </w:pPr>
      <w:r>
        <w:rPr>
          <w:sz w:val="24"/>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Mailing Label Wizard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2001-10-24T16:54:00Z</dcterms:created>
  <dc:creator>Microsoft Corporation</dc:creator>
  <dc:description/>
  <dc:language>en-CA</dc:language>
  <cp:lastModifiedBy>Theresa Rosenheim</cp:lastModifiedBy>
  <cp:lastPrinted>2000-03-30T09:23:00Z</cp:lastPrinted>
  <dcterms:modified xsi:type="dcterms:W3CDTF">2001-10-24T16:54:00Z</dcterms:modified>
  <cp:revision>2</cp:revision>
  <dc:subject/>
  <dc:title>Net Settlement Agreement</dc:title>
</cp:coreProperties>
</file>