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NET SETTLEMENT AGREEMENT</w:t>
      </w:r>
    </w:p>
    <w:p>
      <w:pPr>
        <w:pStyle w:val="Normal"/>
        <w:jc w:val="center"/>
        <w:rPr/>
      </w:pPr>
      <w:r>
        <w:rPr/>
      </w:r>
    </w:p>
    <w:p>
      <w:pPr>
        <w:pStyle w:val="Normal"/>
        <w:jc w:val="both"/>
        <w:rPr/>
      </w:pPr>
      <w:r>
        <w:rPr/>
        <w:tab/>
        <w:t xml:space="preserve">For the mutual promises contained herein and other good and valuable consideration, the receipt and sufficiency of which is hereby acknowledged, </w:t>
      </w:r>
      <w:r>
        <w:rPr>
          <w:b/>
          <w:bCs/>
        </w:rPr>
        <w:t>ENRON RESERVE ACQUISITION CORP.</w:t>
      </w:r>
      <w:r>
        <w:rPr/>
        <w:t xml:space="preserve"> (“ENRON”) and </w:t>
      </w:r>
      <w:r>
        <w:rPr>
          <w:b/>
          <w:bCs/>
        </w:rPr>
        <w:t>NAVAJO REFINING COMPANY</w:t>
      </w:r>
      <w:r>
        <w:rPr/>
        <w:t xml:space="preserve"> (“Navajo”) enter into this Net Settlement Agreement (“Agreement”) to establish set off procedures which will be followed effective with all deliveries of crude oil made on and after April 1, 2001 pursuant to the contractual arrangement between them which may be evidenced by further purchase orders, contracts, or invoices as the parties deem appropriate.  This Agreement supplements and is cumulative of all purchase orders, invoices, contracts, and other instruments which exist now or hereafter by and between ENRON and Navajo.  </w:t>
      </w:r>
    </w:p>
    <w:p>
      <w:pPr>
        <w:pStyle w:val="Normal"/>
        <w:jc w:val="both"/>
        <w:rPr/>
      </w:pPr>
      <w:r>
        <w:rPr/>
      </w:r>
    </w:p>
    <w:p>
      <w:pPr>
        <w:pStyle w:val="Normal"/>
        <w:jc w:val="both"/>
        <w:rPr/>
      </w:pPr>
      <w:r>
        <w:rPr/>
        <w:tab/>
        <w:t>To simplify the settling accounts between ENRON and Navajo in connection with their contractual buy-sell and exchange arrangements, the parties hereto agree as follows:</w:t>
      </w:r>
    </w:p>
    <w:p>
      <w:pPr>
        <w:pStyle w:val="Normal"/>
        <w:jc w:val="both"/>
        <w:rPr/>
      </w:pPr>
      <w:r>
        <w:rPr/>
      </w:r>
    </w:p>
    <w:p>
      <w:pPr>
        <w:pStyle w:val="BodyTextIndent"/>
        <w:numPr>
          <w:ilvl w:val="0"/>
          <w:numId w:val="2"/>
        </w:numPr>
        <w:rPr/>
      </w:pPr>
      <w:r>
        <w:rPr/>
        <w:t>Amounts owed to ENRON by Navajo as a result of each sale to Navajo shall be recouped and set off against any amounts owed to Navajo by ENRON as a result of other transactions.</w:t>
      </w:r>
    </w:p>
    <w:p>
      <w:pPr>
        <w:pStyle w:val="BodyTextIndent"/>
        <w:numPr>
          <w:ilvl w:val="0"/>
          <w:numId w:val="2"/>
        </w:numPr>
        <w:rPr/>
      </w:pPr>
      <w:r>
        <w:rPr/>
        <w:t>Amounts owed to Navajo by ENRON as a result of each sale to ENRON shall be recouped and set off against any amounts owed to ENRON by Navajo as a result of other transactions.</w:t>
      </w:r>
    </w:p>
    <w:p>
      <w:pPr>
        <w:pStyle w:val="BodyTextIndent"/>
        <w:numPr>
          <w:ilvl w:val="0"/>
          <w:numId w:val="2"/>
        </w:numPr>
        <w:rPr/>
      </w:pPr>
      <w:r>
        <w:rPr/>
        <w:t>Each recoupment and set off shall be effective automatically as the debts are incurred without need for further action or evidence of setoff, and regardless of whether one party or both parties fail to enter the set off on its books and records on such date or whether notice of such set off is provided to the other party.  No failure on the part of Navajo or ENRON to provide notice of exercise of such right of set off or otherwise will affect any right of the parties under this Agreement.  For purposes of this agreement, a debt shall be deemed to be incurred when product is delivered from one party to the other, notwithstanding any purchase order, invoice, or contract or similar document to the contrary.</w:t>
      </w:r>
    </w:p>
    <w:p>
      <w:pPr>
        <w:pStyle w:val="BodyTextIndent"/>
        <w:numPr>
          <w:ilvl w:val="0"/>
          <w:numId w:val="2"/>
        </w:numPr>
        <w:rPr/>
      </w:pPr>
      <w:r>
        <w:rPr/>
        <w:t>The net balance due and owing on the last day of the calendar month in which deliveries are made and the debts recouped and set off, shall be payable on the 20</w:t>
      </w:r>
      <w:r>
        <w:rPr>
          <w:vertAlign w:val="superscript"/>
        </w:rPr>
        <w:t>th</w:t>
      </w:r>
      <w:r>
        <w:rPr/>
        <w:t xml:space="preserve"> day of the following month (the “Transfer Date”), by wire transfer of immediately available funds.  Should the 20</w:t>
      </w:r>
      <w:r>
        <w:rPr>
          <w:vertAlign w:val="superscript"/>
        </w:rPr>
        <w:t>th</w:t>
      </w:r>
      <w:r>
        <w:rPr/>
        <w:t xml:space="preserve"> fall on a Saturday or non-Monday bank holiday, payment shall be made the preceding business day.  Payments due on Sunday, or a bank holiday which falls on Monday, shall be made the following business day.</w:t>
      </w:r>
    </w:p>
    <w:p>
      <w:pPr>
        <w:pStyle w:val="BodyTextIndent"/>
        <w:numPr>
          <w:ilvl w:val="0"/>
          <w:numId w:val="2"/>
        </w:numPr>
        <w:rPr/>
      </w:pPr>
      <w:r>
        <w:rPr/>
        <w:t>Though each party may elect to invoice the other party in gross amounts for accounting purposes, the only invoice required pursuant to paragraph 4 of this Agreement is the invoice from the owed party to the owing party for the net amount due.</w:t>
      </w:r>
    </w:p>
    <w:p>
      <w:pPr>
        <w:pStyle w:val="BodyTextIndent"/>
        <w:numPr>
          <w:ilvl w:val="0"/>
          <w:numId w:val="2"/>
        </w:numPr>
        <w:rPr/>
      </w:pPr>
      <w:r>
        <w:rPr/>
        <w:t>The parties agree to confirm the net balance due and owing on the Transfer Date by telephone or facsimile communication between the parties, at least one day prior to the Transfer Date.</w:t>
      </w:r>
    </w:p>
    <w:p>
      <w:pPr>
        <w:pStyle w:val="BodyTextIndent"/>
        <w:numPr>
          <w:ilvl w:val="0"/>
          <w:numId w:val="2"/>
        </w:numPr>
        <w:rPr/>
      </w:pPr>
      <w:r>
        <w:rPr/>
        <w:t>Items in dispute, such as quantity, quality or price, may be included in the net balance due, subject to adjustment in the next succeeding calendar month.  If the parties cannot agree on the amount of adjustment, either party may exclude the amount in dispute from the current month’s set off and pursue resolution independently of this Agreement.</w:t>
      </w:r>
    </w:p>
    <w:p>
      <w:pPr>
        <w:pStyle w:val="BodyTextIndent"/>
        <w:numPr>
          <w:ilvl w:val="0"/>
          <w:numId w:val="2"/>
        </w:numPr>
        <w:rPr/>
      </w:pPr>
      <w:r>
        <w:rPr/>
        <w:t>The rights and remedies afforded under this Agreement are cumulative and the exercise or partial exercise of any such right or remedy shall not preclude the assertion of any other rights available at law or equity, including the right of recoupment, which is expressly acknowledged.</w:t>
      </w:r>
    </w:p>
    <w:p>
      <w:pPr>
        <w:pStyle w:val="BodyTextIndent"/>
        <w:jc w:val="start"/>
        <w:rPr/>
      </w:pPr>
      <w:r>
        <w:rPr/>
      </w:r>
    </w:p>
    <w:p>
      <w:pPr>
        <w:pStyle w:val="BodyTextIndent"/>
        <w:ind w:firstLine="720" w:start="0" w:end="0"/>
        <w:rPr/>
      </w:pPr>
      <w:r>
        <w:rPr/>
        <w:t>This Agreement shall be effective upon execution and supercedes (i) all other previous netting agreements, if any, and (ii) all other payment terms contained in existing and future contract(s), invoice(s) or other agreement(s) unless specifically excluded.  All other terms and conditions of such contract(s) and agreement(s) and their amendments, if any, remain in full force and effect.  In the event of a conflict between the terms of such other contracts, invoices, or other agreements, the terms of this Agreement shall control.</w:t>
      </w:r>
    </w:p>
    <w:p>
      <w:pPr>
        <w:pStyle w:val="BodyTextIndent"/>
        <w:ind w:start="0" w:end="0"/>
        <w:rPr/>
      </w:pPr>
      <w:r>
        <w:rPr/>
      </w:r>
    </w:p>
    <w:p>
      <w:pPr>
        <w:pStyle w:val="BodyTextIndent"/>
        <w:ind w:start="0" w:end="0"/>
        <w:rPr/>
      </w:pPr>
      <w:r>
        <w:rPr/>
        <w:tab/>
        <w:t>No amendment of this Agreement shall be made unless in writing and signed by both parties.  ENRON and Navajo each have the right to terminate this Agreement by giving at least thirty (30) days’ prior written notice thereof to the other party.  Such termination shall effect only the netting arrangement provided by this Agreement, and shall have no effect upon the terms and conditions contained within the purchase, sale or exchange contract(s) and agreement(s) themselves.  The parties agree that termination of this Agreement shall not cancel the netting arrangement for obligations or transactions which occur prior to the termination date, unless the parties agree in writing to the contrary.</w:t>
      </w:r>
    </w:p>
    <w:p>
      <w:pPr>
        <w:pStyle w:val="BodyTextIndent"/>
        <w:ind w:start="0" w:end="0"/>
        <w:rPr/>
      </w:pPr>
      <w:r>
        <w:rPr/>
      </w:r>
    </w:p>
    <w:p>
      <w:pPr>
        <w:pStyle w:val="BodyTextIndent"/>
        <w:ind w:start="0" w:end="0"/>
        <w:rPr/>
      </w:pPr>
      <w:r>
        <w:rPr/>
        <w:tab/>
        <w:t>Both parties hereto represent and warrant that they have full corporate authorization and authority to enter into this Agreement and that this Agreement does not violate the terms of agreements with any other party.</w:t>
      </w:r>
    </w:p>
    <w:p>
      <w:pPr>
        <w:pStyle w:val="BodyTextIndent"/>
        <w:ind w:start="0" w:end="0"/>
        <w:rPr/>
      </w:pPr>
      <w:r>
        <w:rPr/>
      </w:r>
    </w:p>
    <w:p>
      <w:pPr>
        <w:pStyle w:val="BodyTextIndent"/>
        <w:ind w:start="0" w:end="0"/>
        <w:rPr/>
      </w:pPr>
      <w:r>
        <w:rPr/>
        <w:tab/>
        <w:t xml:space="preserve">This Agreement shall be construed and enforced in accordance with the laws of the State of Texas.  </w:t>
      </w:r>
    </w:p>
    <w:p>
      <w:pPr>
        <w:pStyle w:val="BodyTextIndent"/>
        <w:ind w:start="0" w:end="0"/>
        <w:rPr/>
      </w:pPr>
      <w:r>
        <w:rPr/>
      </w:r>
    </w:p>
    <w:p>
      <w:pPr>
        <w:pStyle w:val="BodyTextIndent"/>
        <w:ind w:start="0" w:end="0"/>
        <w:rPr/>
      </w:pPr>
      <w:r>
        <w:rPr/>
        <w:t>Accepted and Agreed to:</w:t>
      </w:r>
    </w:p>
    <w:p>
      <w:pPr>
        <w:pStyle w:val="BodyTextIndent"/>
        <w:ind w:start="0" w:end="0"/>
        <w:rPr/>
      </w:pPr>
      <w:r>
        <w:rPr/>
      </w:r>
    </w:p>
    <w:p>
      <w:pPr>
        <w:pStyle w:val="BodyTextIndent"/>
        <w:ind w:hanging="5040" w:start="5040" w:end="0"/>
        <w:jc w:val="start"/>
        <w:rPr>
          <w:b/>
          <w:bCs/>
        </w:rPr>
      </w:pPr>
      <w:r>
        <w:rPr>
          <w:b/>
          <w:bCs/>
        </w:rPr>
        <w:t>NAVAJO REFINING COMPANY</w:t>
        <w:tab/>
        <w:t xml:space="preserve">ENRON RESERVE ACQUSITION CORP. </w:t>
      </w:r>
    </w:p>
    <w:p>
      <w:pPr>
        <w:pStyle w:val="BodyTextIndent"/>
        <w:ind w:start="0" w:end="0"/>
        <w:rPr/>
      </w:pPr>
      <w:r>
        <w:rPr/>
      </w:r>
    </w:p>
    <w:p>
      <w:pPr>
        <w:pStyle w:val="BodyTextIndent"/>
        <w:ind w:start="0" w:end="0"/>
        <w:rPr>
          <w:sz w:val="20"/>
        </w:rPr>
      </w:pPr>
      <w:r>
        <w:rPr>
          <w:sz w:val="20"/>
        </w:rPr>
        <w:t>By:___________________________________</w:t>
        <w:tab/>
        <w:tab/>
        <w:t>By: ________________________________</w:t>
      </w:r>
    </w:p>
    <w:p>
      <w:pPr>
        <w:pStyle w:val="BodyTextIndent"/>
        <w:ind w:start="0" w:end="0"/>
        <w:rPr>
          <w:sz w:val="20"/>
        </w:rPr>
      </w:pPr>
      <w:r>
        <w:rPr>
          <w:sz w:val="20"/>
        </w:rPr>
      </w:r>
    </w:p>
    <w:p>
      <w:pPr>
        <w:pStyle w:val="BodyTextIndent"/>
        <w:ind w:start="0" w:end="0"/>
        <w:rPr>
          <w:sz w:val="20"/>
        </w:rPr>
      </w:pPr>
      <w:r>
        <w:rPr>
          <w:sz w:val="20"/>
        </w:rPr>
        <w:t>Printed Name: __________________________</w:t>
        <w:tab/>
        <w:tab/>
        <w:t>Printed Name: _______________________</w:t>
      </w:r>
    </w:p>
    <w:p>
      <w:pPr>
        <w:pStyle w:val="BodyTextIndent"/>
        <w:ind w:start="0" w:end="0"/>
        <w:rPr>
          <w:sz w:val="20"/>
        </w:rPr>
      </w:pPr>
      <w:r>
        <w:rPr>
          <w:sz w:val="20"/>
        </w:rPr>
      </w:r>
    </w:p>
    <w:p>
      <w:pPr>
        <w:pStyle w:val="BodyTextIndent"/>
        <w:ind w:start="0" w:end="0"/>
        <w:rPr>
          <w:sz w:val="20"/>
        </w:rPr>
      </w:pPr>
      <w:r>
        <w:rPr>
          <w:sz w:val="20"/>
        </w:rPr>
        <w:t>Title: _________________________________</w:t>
        <w:tab/>
        <w:tab/>
        <w:t>Title: ______________________________</w:t>
      </w:r>
    </w:p>
    <w:p>
      <w:pPr>
        <w:pStyle w:val="BodyTextIndent"/>
        <w:ind w:start="0" w:end="0"/>
        <w:rPr>
          <w:sz w:val="20"/>
        </w:rPr>
      </w:pPr>
      <w:r>
        <w:rPr>
          <w:sz w:val="20"/>
        </w:rPr>
      </w:r>
    </w:p>
    <w:p>
      <w:pPr>
        <w:pStyle w:val="BodyTextIndent"/>
        <w:ind w:start="0" w:end="0"/>
        <w:rPr>
          <w:sz w:val="20"/>
        </w:rPr>
      </w:pPr>
      <w:r>
        <w:rPr>
          <w:sz w:val="20"/>
        </w:rPr>
        <w:t>Date: _________________________________</w:t>
        <w:tab/>
        <w:tab/>
        <w:t>Date: ______________________________</w:t>
      </w:r>
    </w:p>
    <w:sectPr>
      <w:type w:val="nextPage"/>
      <w:pgSz w:w="12240" w:h="15840"/>
      <w:pgMar w:left="1800" w:right="1800" w:gutter="0" w:header="0" w:top="1080"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160"/>
        </w:tabs>
        <w:ind w:start="216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2001-03-29T18:22:00Z</dcterms:created>
  <dc:creator>Default</dc:creator>
  <dc:description/>
  <dc:language>en-CA</dc:language>
  <cp:lastModifiedBy>Scott C. Surplus</cp:lastModifiedBy>
  <cp:lastPrinted>2001-03-29T14:51:00Z</cp:lastPrinted>
  <dcterms:modified xsi:type="dcterms:W3CDTF">2001-03-29T18:30:00Z</dcterms:modified>
  <cp:revision>3</cp:revision>
  <dc:subject/>
  <dc:title>November 29, 1999</dc:title>
</cp:coreProperties>
</file>