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foot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szCs w:val="16"/>
        </w:rPr>
      </w:pPr>
      <w:r>
        <w:rPr>
          <w:sz w:val="16"/>
          <w:szCs w:val="16"/>
        </w:rPr>
      </w:r>
    </w:p>
    <w:p>
      <w:pPr>
        <w:sectPr>
          <w:headerReference w:type="default" r:id="rId2"/>
          <w:headerReference w:type="first" r:id="rId3"/>
          <w:footerReference w:type="default" r:id="rId4"/>
          <w:footerReference w:type="first" r:id="rId5"/>
          <w:type w:val="nextPage"/>
          <w:pgSz w:w="12240" w:h="15840"/>
          <w:pgMar w:left="1800" w:right="1800" w:gutter="0" w:header="960" w:top="1016" w:footer="335" w:bottom="1440"/>
          <w:pgNumType w:fmt="decimal"/>
          <w:formProt w:val="false"/>
          <w:titlePg/>
          <w:textDirection w:val="lrTb"/>
          <w:docGrid w:type="default" w:linePitch="360" w:charSpace="0"/>
        </w:sectPr>
      </w:pPr>
    </w:p>
    <w:p>
      <w:pPr>
        <w:pStyle w:val="DocumentLabel"/>
        <w:spacing w:lineRule="exact" w:line="840" w:before="0" w:after="0"/>
        <w:ind w:start="-240" w:end="-240"/>
        <w:rPr/>
      </w:pPr>
      <w:r>
        <w:rPr/>
        <w:t>Memo</w:t>
      </w:r>
    </w:p>
    <w:p>
      <w:pPr>
        <w:pStyle w:val="DocumentLabel"/>
        <w:spacing w:lineRule="exact" w:line="240" w:before="0" w:after="80"/>
        <w:ind w:start="-240" w:end="-240"/>
        <w:rPr>
          <w:sz w:val="20"/>
          <w:szCs w:val="20"/>
        </w:rPr>
      </w:pPr>
      <w:r>
        <w:rPr>
          <w:rFonts w:eastAsia="Arial Black"/>
          <w:sz w:val="20"/>
          <w:szCs w:val="20"/>
        </w:rPr>
        <w:t xml:space="preserve"> </w:t>
      </w:r>
      <w:r>
        <w:rPr>
          <w:sz w:val="20"/>
          <w:szCs w:val="20"/>
        </w:rPr>
        <w:t>Confidential and Privileged</w:t>
      </w:r>
    </w:p>
    <w:p>
      <w:pPr>
        <w:pStyle w:val="MessageHeaderFirst"/>
        <w:spacing w:before="0" w:after="120"/>
        <w:rPr/>
      </w:pPr>
      <w:r>
        <w:br w:type="column"/>
      </w:r>
      <w:r>
        <w:rPr>
          <w:rStyle w:val="MessageHeaderLabel"/>
          <w:spacing w:val="-25"/>
        </w:rPr>
        <w:t>T</w:t>
      </w:r>
      <w:r>
        <w:rPr>
          <w:rStyle w:val="MessageHeaderLabel"/>
        </w:rPr>
        <w:t>o:</w:t>
      </w:r>
      <w:r>
        <w:rPr/>
        <w:tab/>
        <w:t>Dan Allegretti</w:t>
      </w:r>
    </w:p>
    <w:p>
      <w:pPr>
        <w:pStyle w:val="MessageHeader"/>
        <w:rPr/>
      </w:pPr>
      <w:r>
        <w:rPr>
          <w:rStyle w:val="MessageHeaderLabel"/>
        </w:rPr>
        <w:t>From:</w:t>
      </w:r>
      <w:r>
        <w:rPr/>
        <w:tab/>
        <w:t>Bob Fagan</w:t>
      </w:r>
    </w:p>
    <w:p>
      <w:pPr>
        <w:pStyle w:val="MessageHeader"/>
        <w:rPr/>
      </w:pPr>
      <w:r>
        <w:rPr>
          <w:rStyle w:val="MessageHeaderLabel"/>
        </w:rPr>
        <w:t>CC:</w:t>
      </w:r>
      <w:r>
        <w:rPr/>
        <w:tab/>
        <w:t>Terri Miller; John Llodra, Scott Englander</w:t>
      </w:r>
    </w:p>
    <w:p>
      <w:pPr>
        <w:pStyle w:val="MessageHeader"/>
        <w:rPr/>
      </w:pPr>
      <w:r>
        <w:rPr>
          <w:rStyle w:val="MessageHeaderLabel"/>
        </w:rPr>
        <w:t>Date:</w:t>
      </w:r>
      <w:r>
        <w:rPr/>
        <w:tab/>
        <w:t>October 15, 2001</w:t>
      </w:r>
    </w:p>
    <w:p>
      <w:pPr>
        <w:pStyle w:val="Heading1"/>
        <w:spacing w:before="0" w:after="0"/>
        <w:ind w:hanging="0" w:start="0"/>
        <w:rPr/>
      </w:pPr>
      <w:r>
        <w:rPr>
          <w:rStyle w:val="MessageHeaderLabel"/>
        </w:rPr>
        <w:t>Re:</w:t>
      </w:r>
      <w:r>
        <w:rPr/>
        <w:tab/>
      </w:r>
      <w:r>
        <w:rPr>
          <w:rFonts w:cs="Arial" w:ascii="Arial" w:hAnsi="Arial"/>
          <w:spacing w:val="-5"/>
          <w:kern w:val="0"/>
          <w:sz w:val="20"/>
          <w:szCs w:val="20"/>
        </w:rPr>
        <w:t>October 9-10 2001 NEPOOL Markets Committee Meeting</w:t>
      </w:r>
    </w:p>
    <w:p>
      <w:pPr>
        <w:sectPr>
          <w:type w:val="continuous"/>
          <w:pgSz w:w="12240" w:h="15840"/>
          <w:pgMar w:left="1800" w:right="1800" w:gutter="0" w:header="960" w:top="1016" w:footer="335" w:bottom="1440"/>
          <w:cols w:num="2" w:equalWidth="false" w:sep="false">
            <w:col w:w="3000" w:space="560"/>
            <w:col w:w="5080"/>
          </w:cols>
          <w:formProt w:val="false"/>
          <w:titlePg/>
          <w:textDirection w:val="lrTb"/>
          <w:docGrid w:type="default" w:linePitch="360" w:charSpace="0"/>
        </w:sectPr>
      </w:pPr>
    </w:p>
    <w:p>
      <w:pPr>
        <w:pStyle w:val="MessageHeaderLast"/>
        <w:pBdr>
          <w:bottom w:val="single" w:sz="6" w:space="0" w:color="000000"/>
        </w:pBdr>
        <w:spacing w:lineRule="auto" w:line="240" w:before="0" w:after="120"/>
        <w:ind w:hanging="0" w:start="-240" w:end="-240"/>
        <w:rPr>
          <w:rFonts w:ascii="Arial" w:hAnsi="Arial" w:cs="Arial"/>
          <w:spacing w:val="-5"/>
          <w:kern w:val="0"/>
          <w:sz w:val="20"/>
          <w:szCs w:val="20"/>
        </w:rPr>
      </w:pPr>
      <w:r>
        <w:rPr>
          <w:rFonts w:cs="Arial"/>
          <w:spacing w:val="-5"/>
          <w:kern w:val="0"/>
          <w:sz w:val="20"/>
          <w:szCs w:val="20"/>
        </w:rPr>
      </w:r>
    </w:p>
    <w:p>
      <w:pPr>
        <w:pStyle w:val="BodyText"/>
        <w:rPr>
          <w:rFonts w:ascii="Times New Roman" w:hAnsi="Times New Roman" w:cs="Times New Roman"/>
          <w:sz w:val="24"/>
        </w:rPr>
      </w:pPr>
      <w:r>
        <w:rPr>
          <w:rFonts w:cs="Times New Roman" w:ascii="Times New Roman" w:hAnsi="Times New Roman"/>
          <w:sz w:val="24"/>
        </w:rPr>
        <w:t>The purpose of this memo is to highlight developments from last Tuesday/Wednesday NEPOOL Markets Committee Meeting. Please let me know if you’d like any additional information or copies of documents referenced.</w:t>
      </w:r>
    </w:p>
    <w:p>
      <w:pPr>
        <w:pStyle w:val="Normal"/>
        <w:rPr>
          <w:rFonts w:ascii="Times New Roman" w:hAnsi="Times New Roman" w:cs="Times New Roman"/>
          <w:sz w:val="24"/>
        </w:rPr>
      </w:pPr>
      <w:r>
        <w:rPr>
          <w:rFonts w:cs="Times New Roman" w:ascii="Times New Roman" w:hAnsi="Times New Roman"/>
          <w:sz w:val="24"/>
        </w:rPr>
        <w:t>Six primary items were discussed during the 2-day meeting:</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3"/>
        </w:numPr>
        <w:spacing w:before="0" w:after="120"/>
        <w:rPr>
          <w:rFonts w:ascii="Times New Roman" w:hAnsi="Times New Roman" w:cs="Times New Roman"/>
          <w:sz w:val="24"/>
        </w:rPr>
      </w:pPr>
      <w:r>
        <w:rPr>
          <w:rFonts w:cs="Times New Roman" w:ascii="Times New Roman" w:hAnsi="Times New Roman"/>
          <w:sz w:val="24"/>
        </w:rPr>
        <w:t>PG&amp;E’s proposal to adjust the tolerance band for the Desired Dispatch Point (to an effective 3%, from an effective 1%) and the resulting eligibility of units to set the clearing price and receive certain levels of NCPC.</w:t>
      </w:r>
    </w:p>
    <w:p>
      <w:pPr>
        <w:pStyle w:val="Normal"/>
        <w:numPr>
          <w:ilvl w:val="0"/>
          <w:numId w:val="13"/>
        </w:numPr>
        <w:spacing w:before="0" w:after="120"/>
        <w:rPr>
          <w:rFonts w:ascii="Times New Roman" w:hAnsi="Times New Roman" w:cs="Times New Roman"/>
          <w:sz w:val="24"/>
        </w:rPr>
      </w:pPr>
      <w:r>
        <w:rPr>
          <w:rFonts w:cs="Times New Roman" w:ascii="Times New Roman" w:hAnsi="Times New Roman"/>
          <w:sz w:val="24"/>
        </w:rPr>
        <w:t>Continuing discussion (and once again, a postponed vote) on changes to MRP 17 (regarding formulaic vs. negotiated payment for “non-competitive” out-of-merit resources relieving transmission constraints); in particular, discussion of Mirant’s specific proposal for rule changes.</w:t>
      </w:r>
    </w:p>
    <w:p>
      <w:pPr>
        <w:pStyle w:val="Normal"/>
        <w:numPr>
          <w:ilvl w:val="0"/>
          <w:numId w:val="13"/>
        </w:numPr>
        <w:spacing w:before="0" w:after="120"/>
        <w:rPr>
          <w:rFonts w:ascii="Times New Roman" w:hAnsi="Times New Roman" w:cs="Times New Roman"/>
          <w:sz w:val="24"/>
        </w:rPr>
      </w:pPr>
      <w:r>
        <w:rPr>
          <w:rFonts w:cs="Times New Roman" w:ascii="Times New Roman" w:hAnsi="Times New Roman"/>
          <w:sz w:val="24"/>
        </w:rPr>
        <w:t>Duke informational presentation concerning generator station service at “retail” or “wholesale” level, associated transmission cost obligations, and a recent FERC ruling on the issue (pertaining to PJM) and how or if it may apply to New England in the future.</w:t>
      </w:r>
    </w:p>
    <w:p>
      <w:pPr>
        <w:pStyle w:val="Normal"/>
        <w:numPr>
          <w:ilvl w:val="0"/>
          <w:numId w:val="13"/>
        </w:numPr>
        <w:spacing w:before="0" w:after="120"/>
        <w:rPr>
          <w:rFonts w:ascii="Times New Roman" w:hAnsi="Times New Roman" w:cs="Times New Roman"/>
          <w:sz w:val="24"/>
        </w:rPr>
      </w:pPr>
      <w:r>
        <w:rPr>
          <w:rFonts w:cs="Times New Roman" w:ascii="Times New Roman" w:hAnsi="Times New Roman"/>
          <w:sz w:val="24"/>
        </w:rPr>
        <w:t>Reserve market forum: presentation by John Farr (Lexicon, for Sithe, Duke, Mirant, NRG, and PG&amp;E) on the need for a new “replacement reserves” spot hourly market.</w:t>
      </w:r>
    </w:p>
    <w:p>
      <w:pPr>
        <w:pStyle w:val="Normal"/>
        <w:numPr>
          <w:ilvl w:val="0"/>
          <w:numId w:val="13"/>
        </w:numPr>
        <w:spacing w:before="0" w:after="120"/>
        <w:rPr>
          <w:rFonts w:ascii="Times New Roman" w:hAnsi="Times New Roman" w:cs="Times New Roman"/>
          <w:sz w:val="24"/>
        </w:rPr>
      </w:pPr>
      <w:r>
        <w:rPr>
          <w:rFonts w:cs="Times New Roman" w:ascii="Times New Roman" w:hAnsi="Times New Roman"/>
          <w:sz w:val="24"/>
        </w:rPr>
        <w:t>Reserve market forum: presentation (“Auction for Quick Start Capability”) by Mario DePillis (ISO NE) on an ongoing forward, quick-start reserve market proposal by the ISO.</w:t>
      </w:r>
    </w:p>
    <w:p>
      <w:pPr>
        <w:pStyle w:val="Normal"/>
        <w:numPr>
          <w:ilvl w:val="0"/>
          <w:numId w:val="13"/>
        </w:numPr>
        <w:spacing w:before="0" w:after="120"/>
        <w:rPr>
          <w:rFonts w:ascii="Times New Roman" w:hAnsi="Times New Roman" w:cs="Times New Roman"/>
          <w:sz w:val="24"/>
        </w:rPr>
      </w:pPr>
      <w:r>
        <w:rPr>
          <w:rFonts w:cs="Times New Roman" w:ascii="Times New Roman" w:hAnsi="Times New Roman"/>
          <w:sz w:val="24"/>
        </w:rPr>
        <w:t>Update on Electronic Dispatch:  presentation by Dave LaPlante (ISO NE) on implementation of the “desired dispatch filter” (slack generator) into the dispatch algorithm and its impact on the market.</w:t>
      </w:r>
    </w:p>
    <w:p>
      <w:pPr>
        <w:pStyle w:val="Normal"/>
        <w:spacing w:before="0" w:after="120"/>
        <w:rPr>
          <w:rFonts w:ascii="Times New Roman" w:hAnsi="Times New Roman" w:cs="Times New Roman"/>
          <w:sz w:val="24"/>
        </w:rPr>
      </w:pPr>
      <w:r>
        <w:rPr>
          <w:rFonts w:cs="Times New Roman" w:ascii="Times New Roman" w:hAnsi="Times New Roman"/>
          <w:sz w:val="24"/>
        </w:rPr>
        <w:t>Postponed item:  Updated provision of information on Net Commitment Period Compensation (NCPC).</w:t>
      </w:r>
    </w:p>
    <w:p>
      <w:pPr>
        <w:pStyle w:val="Normal"/>
        <w:spacing w:before="0" w:after="120"/>
        <w:rPr>
          <w:rFonts w:eastAsia="Arial"/>
        </w:rPr>
      </w:pPr>
      <w:r>
        <w:rPr>
          <w:rFonts w:eastAsia="Arial"/>
        </w:rPr>
        <w:t xml:space="preserve"> </w:t>
      </w:r>
    </w:p>
    <w:p>
      <w:pPr>
        <w:pStyle w:val="Heading1"/>
        <w:ind w:hanging="0" w:start="0"/>
        <w:rPr/>
      </w:pPr>
      <w:r>
        <w:rPr/>
        <w:t>PG&amp;E’s Desired Dispatch Point Proposal</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PG&amp;E moved to alter the rules determining when a generating unit was considered to be operating at its desired dispatch point (DDP).  The existing rule effectively forces generators into a very tight band of output if they wish to be eligible to set the clearing price (and in determining the maximum quantity of generation available to earn NCPC).  If generators operate outside this limit, they are deemed to not be operating at their desired dispatch point, essentially an uninstructed deviation.  As written, the rule often results in an effective tolerance level of 1%.  The original rule was supposed to have afforded a 3% tolerance level for generator output quantities; but the ultimate equation used did not reflect this, rather it often imposed a 1% tolerance.</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result is that a significant number of generators are often not in compliance, and are therefore ineligible to set the clearing price.</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It was brought up that the data presented did not indicate if the units in question (outside of DDP) were sometimes or often on the margin.  The ISO will work to determine if this is the case.  If the units are mostly infra-marginal, then whether or not they are eligible to set the clearing price is moot.  However, it could effect how much NCPC they receive.</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ISO was in favor of this rule change.  The physical tolerance of many units is not good enough to meet the threshold 1% level.  There does not seem to be any system impact to this – reliability is not impacted, and there does not seem to be a bias towards “excess” or “shortage” generation such that regulating resources would be working harder.  Thus, the change did not appear to be contentious, although Select’s representative brought up questions concerning whether or not the telemetry used to communicate output quantity to the ISO needed to be upgraded to “revenue meter” standards to allow more accurate real-time unit output data delivery to the ISO.  This issue was not really integral to the technical issues relevant to the motion.</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An amendment was proposed to the motion, to allow the 3% tolerance but to limit the number of consecutive dispatch intervals over which the tolerance would be measured to 3 (nominally 15 minutes) instead of the suggested 5 (nominally 25 minutes).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amendment to the motion failed, with 39.2% in favor.</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The original motion just failed, with 63.9% of the vote.  Bob Stein (Signal Hill Consulting, for Berkshire Power Development and El Paso) remarked that he thought a number of the participants did not realize what they were voting against.  I concur – it was a relatively innocuous motion as MC meeting motions go, and there would have been no harm if transmission owners and end-use sector participants had voted for it.        </w:t>
      </w:r>
    </w:p>
    <w:p>
      <w:pPr>
        <w:pStyle w:val="Normal"/>
        <w:rPr>
          <w:rFonts w:ascii="Times New Roman" w:hAnsi="Times New Roman" w:cs="Times New Roman"/>
          <w:spacing w:val="0"/>
          <w:sz w:val="24"/>
          <w:szCs w:val="24"/>
        </w:rPr>
      </w:pPr>
      <w:r>
        <w:rPr>
          <w:rFonts w:cs="Times New Roman" w:ascii="Times New Roman" w:hAnsi="Times New Roman"/>
          <w:spacing w:val="0"/>
          <w:sz w:val="24"/>
          <w:szCs w:val="24"/>
        </w:rPr>
      </w:r>
    </w:p>
    <w:p>
      <w:pPr>
        <w:pStyle w:val="Heading1"/>
        <w:ind w:hanging="0" w:start="0"/>
        <w:rPr/>
      </w:pPr>
      <w:r>
        <w:rPr/>
        <w:t>MRP 17: Mirant Proposed Changes to Implement RMR Mitigation Procedure</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Peter Fuller from Mirant gave a lengthier explanation of his proposed amendments to Market Rule 17, concerning the amount of compensation available to generators running out-of-merit to alleviate transmission constraints.  At the previous meeting, he had circulated a draft of these changes and indicated he would be seeking a vote on a motion.</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As noted in my previous memo reporting on last month’s meeting, the essence of Mirant’s proposed amendments was to include components that allowed for recovery of additional fixed cost components, and recognized the “going forward” costs associated with owning a seldom-used, peaking-like unit in load pocket areas – which generally describes the affected units.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After first claiming that mitigating to marginal cost misses the point, Peter indicated that his proposal:</w:t>
      </w:r>
    </w:p>
    <w:p>
      <w:pPr>
        <w:pStyle w:val="BodyText"/>
        <w:numPr>
          <w:ilvl w:val="0"/>
          <w:numId w:val="12"/>
        </w:numPr>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Would allow the “reliability” value of units in locked in areas to be recovered; </w:t>
      </w:r>
    </w:p>
    <w:p>
      <w:pPr>
        <w:pStyle w:val="BodyText"/>
        <w:numPr>
          <w:ilvl w:val="0"/>
          <w:numId w:val="12"/>
        </w:numPr>
        <w:jc w:val="start"/>
        <w:rPr>
          <w:rFonts w:ascii="Times New Roman" w:hAnsi="Times New Roman" w:cs="Times New Roman"/>
          <w:spacing w:val="0"/>
          <w:sz w:val="24"/>
          <w:szCs w:val="24"/>
        </w:rPr>
      </w:pPr>
      <w:r>
        <w:rPr>
          <w:rFonts w:cs="Times New Roman" w:ascii="Times New Roman" w:hAnsi="Times New Roman"/>
          <w:spacing w:val="0"/>
          <w:sz w:val="24"/>
          <w:szCs w:val="24"/>
        </w:rPr>
        <w:t>Addresses concerns that if you clamp down compensation for these units, you wipe out any potential gain to those who might relieve constraints, and thus are jeopardizing reliability if those units shut down or are less available to operate; and</w:t>
      </w:r>
    </w:p>
    <w:p>
      <w:pPr>
        <w:pStyle w:val="BodyText"/>
        <w:numPr>
          <w:ilvl w:val="0"/>
          <w:numId w:val="12"/>
        </w:numPr>
        <w:jc w:val="start"/>
        <w:rPr>
          <w:rFonts w:ascii="Times New Roman" w:hAnsi="Times New Roman" w:cs="Times New Roman"/>
          <w:spacing w:val="0"/>
          <w:sz w:val="24"/>
          <w:szCs w:val="24"/>
        </w:rPr>
      </w:pPr>
      <w:r>
        <w:rPr>
          <w:rFonts w:cs="Times New Roman" w:ascii="Times New Roman" w:hAnsi="Times New Roman"/>
          <w:spacing w:val="0"/>
          <w:sz w:val="24"/>
          <w:szCs w:val="24"/>
        </w:rPr>
        <w:t>Uses a broader set of multiplier values for the Price Screens, reflecting the high costs of keeping a unit available when it will run in very few hours of the year.</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Discussion continued around the issues of whether marginal cost compensation was enough; and opponents of the motion (including the ISO) continued to insist that filing at FERC for cost-based recovery was always an option if a generator did not believe it was earning enough.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Ultimately, a vote on this motion was postponed.</w:t>
      </w:r>
    </w:p>
    <w:p>
      <w:pPr>
        <w:pStyle w:val="Normal"/>
        <w:rPr>
          <w:rFonts w:ascii="Times New Roman" w:hAnsi="Times New Roman" w:cs="Times New Roman"/>
          <w:spacing w:val="0"/>
          <w:sz w:val="24"/>
          <w:szCs w:val="24"/>
        </w:rPr>
      </w:pPr>
      <w:r>
        <w:rPr>
          <w:rFonts w:cs="Times New Roman" w:ascii="Times New Roman" w:hAnsi="Times New Roman"/>
          <w:spacing w:val="0"/>
          <w:sz w:val="24"/>
          <w:szCs w:val="24"/>
        </w:rPr>
      </w:r>
    </w:p>
    <w:p>
      <w:pPr>
        <w:pStyle w:val="Heading1"/>
        <w:ind w:hanging="0" w:start="0"/>
        <w:rPr/>
      </w:pPr>
      <w:r>
        <w:rPr/>
        <w:t>Duke Presentation / Discussion of Generator Station Service Transactions:  Determination of “Retail” Transaction Using Monthly Net Energy Metric</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Ron Matlock (Duke) gave a brief informational explanation of issues concerning the nature of generator station service load.  His point of reference was a recent FERC order accepting PJM’s shift to monthly energy netting instead of hourly energy netting to determine if a station service load sale is considered a retail or wholesale transaction.  He also referenced a pending Calpine filing before FERC concerning independent generation in New England and the extent to which local transmission company tariff rates apply to PTF-connected generation (or PTF-connected via direct access facilities).</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His point was to make the committee aware that in the future Duke may petition to change market rules to clearly spell out that station service load transactions are deemed to be retail transactions only if monthly net energy at the station is negative, as opposed to an hourly metric.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A few participants brought up the related issues of a load’s cost obligation, and whether or not ISO NE had any role in making a “determination” concerning the retail sector.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Mr. Matlock re-emphasized that he was primarily asking the committee to take note of the FERC order, the pending Calpine order, and to recognize that their may be some action required or requested of the markets committee.</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most important issue is likely what type of transmission service a generator customer must take, and whether or not a station service load incurs ancillary service charges and other charges placed on load assets. During periods in which it is it a net load rather than a net generator.</w:t>
      </w:r>
    </w:p>
    <w:p>
      <w:pPr>
        <w:pStyle w:val="Normal"/>
        <w:rPr>
          <w:rFonts w:ascii="Times New Roman" w:hAnsi="Times New Roman" w:cs="Times New Roman"/>
          <w:spacing w:val="0"/>
          <w:sz w:val="24"/>
          <w:szCs w:val="24"/>
        </w:rPr>
      </w:pPr>
      <w:r>
        <w:rPr>
          <w:rFonts w:cs="Times New Roman" w:ascii="Times New Roman" w:hAnsi="Times New Roman"/>
          <w:spacing w:val="0"/>
          <w:sz w:val="24"/>
          <w:szCs w:val="24"/>
        </w:rPr>
      </w:r>
    </w:p>
    <w:p>
      <w:pPr>
        <w:pStyle w:val="Heading1"/>
        <w:ind w:hanging="0" w:start="0"/>
        <w:rPr/>
      </w:pPr>
      <w:r>
        <w:rPr/>
        <w:t xml:space="preserve">Lexicon Proposal for a Replacement Reserves Hourly Spot Market </w:t>
      </w:r>
    </w:p>
    <w:p>
      <w:pPr>
        <w:pStyle w:val="BodyText"/>
        <w:jc w:val="start"/>
        <w:rPr/>
      </w:pPr>
      <w:r>
        <w:rPr>
          <w:rFonts w:cs="Times New Roman" w:ascii="Times New Roman" w:hAnsi="Times New Roman"/>
          <w:spacing w:val="0"/>
          <w:sz w:val="24"/>
          <w:szCs w:val="24"/>
        </w:rPr>
        <w:t>John Farr of Lexicon presented a joint proposal from Sithe, Duke, Mirant, NRG, and PG&amp;E to establish a fourth reserve market, Replacement Operating Reserve (ROR).</w:t>
      </w:r>
      <w:r>
        <w:rPr>
          <w:rStyle w:val="FootnoteCharacters"/>
          <w:rStyle w:val="FootnoteReference"/>
        </w:rPr>
        <w:footnoteReference w:id="2"/>
      </w:r>
      <w:r>
        <w:rPr>
          <w:rFonts w:cs="Times New Roman" w:ascii="Times New Roman" w:hAnsi="Times New Roman"/>
          <w:spacing w:val="0"/>
          <w:sz w:val="24"/>
          <w:szCs w:val="24"/>
        </w:rPr>
        <w:t xml:space="preserve"> In part, the proposal was initiated based on a NEPOOL Review Board decision stating that the ISO should identify and compensate units for providing replacement reserve services.</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Replacement reserve is used to replenish operating reserves called on in the event of a contingency or other need for reserve activation (e.g., load forecast inaccuracies).  Currently, the thirty-minute operating reserve market is the nearest thing to a ROR. Without a ROR, the ISO must always have enough units committed to provide thirty-minute reserve – or any other reserve – in accordance with NPCC and NERC reserve performance criteria.</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Mr. Farr’s presentation emphasized that units not committed day-ahead by the ISO still end up providing effective replacement reserve, yet do not get paid for it (are not assured of any NCPC).  While he anticipated that some of the costs would be offset by less NCPC payment to committed units, he did not guarantee that overall costs of delivered energy and reserves would be less.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ISO was not in favor of a new ROR market.  They thought it would require too much effort to institute, and would not operate well as a market, just as the thirty-minute operating reserve market does not operate well.</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John Farr did not force a vote, but he requested one for the next markets committee meeting.</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issue should not be isolated and treated separately from the current quick-start auction reserve proposal, the current operation of the other reserve markets, ICAP discussions, and the NCPC payments units get if committed by the ISO under the 3-part bidding system in place.  From a market economics perspective, the ISO would be better off getting out of the unit commitment business, and instead just providing reliability through specifying the reserve quantities – including necessary replacement reserve – that should be obtained through the market.  However, revisiting the use of 3-part bidding is not on the horizon.</w:t>
      </w:r>
    </w:p>
    <w:p>
      <w:pPr>
        <w:pStyle w:val="Normal"/>
        <w:rPr>
          <w:rFonts w:ascii="Times New Roman" w:hAnsi="Times New Roman" w:cs="Times New Roman"/>
          <w:spacing w:val="0"/>
          <w:sz w:val="24"/>
          <w:szCs w:val="24"/>
        </w:rPr>
      </w:pPr>
      <w:r>
        <w:rPr>
          <w:rFonts w:cs="Times New Roman" w:ascii="Times New Roman" w:hAnsi="Times New Roman"/>
          <w:spacing w:val="0"/>
          <w:sz w:val="24"/>
          <w:szCs w:val="24"/>
        </w:rPr>
      </w:r>
    </w:p>
    <w:p>
      <w:pPr>
        <w:pStyle w:val="Heading1"/>
        <w:ind w:hanging="0" w:start="0"/>
        <w:rPr/>
      </w:pPr>
      <w:r>
        <w:rPr/>
        <w:t xml:space="preserve">Auction for Quick Start Capability:  An ISO-run 3-Month Forward Market to Replace the Current Ten-Minute Non-Spin (TMNS) and Thirty Minute Operation Reserve (TMOR) Markets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Mario DePillis (ISO) presented an update to the quick-start reserve auction activities and related reserve provision.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The quick-start reserve auction is intended to introduce 3-month forward, reserve products into the market, and replace the existing TMNS and TMOR spot market reserve products.  There will be two products – quick-start 10 minute reserve, and quick-start 30 minute reserve.  Auction winners will receive an auction clearing price (premium) and are obliged to offer energy from a quick start reserve unit within a pre-defined energy bid price range.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This pre-defined energy bid price range is one of the areas the ISO is seeking participant input – it’s unclear to them exactly how to specify this to ensure that the units are available for reserve.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I believe the best way to handle this is to let winners offer at whatever bid price they wish, along with their obligation to physically supply reserve at day-ahead.  The concern is that this could lead to units providing energy and not being able to provide reserve.  This alternative also implies retaining an effective spot market for the products.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The ISO does not want to retain a spot market product to ensure day-ahead (and day of) reserve availability – they would rather leave it to the auction, and use the “high bid price range” as the mechanism to ensure that obligations are ultimately available as reserve.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 auction obligation is financial only – winners can secure actual physical reserve from the bilateral marketplace by the day-ahead bid deadline to fulfill their obligation to provide.  The intent is to guarantee the availability of reserve at energy bid prices outside the normal range of clearing prices – essentially from units at the top of the supply curve.</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Self-supply of this reserve product seems to be allowed only if a self-supplier participates in the forward auction.  It is still unclear if self-scheduling can occur closer to the day-ahead deadline, although it seems to be the intention.  This impinges on the markets’ ability to provide this product in anything other than the 3-month forward time frame examined by the ISO – although the ISO states that bilateral provision can occur subsequent to the auction.  One MC member in particular was quite concerned with not being able to self-supply based on a near-term assessment of available quick start resources.</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 xml:space="preserve">The key issue is whether or not a spot market for these products could be retained; the ISO believes the existing markets don’t work, thus they should be jettisoned in favor of this forward-market only reserve product.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There is no market rule proposal on the table for this issue at this time.</w:t>
      </w:r>
    </w:p>
    <w:p>
      <w:pPr>
        <w:pStyle w:val="Normal"/>
        <w:rPr>
          <w:rFonts w:ascii="Times New Roman" w:hAnsi="Times New Roman" w:cs="Times New Roman"/>
          <w:spacing w:val="0"/>
          <w:sz w:val="24"/>
          <w:szCs w:val="24"/>
        </w:rPr>
      </w:pPr>
      <w:r>
        <w:rPr>
          <w:rFonts w:cs="Times New Roman" w:ascii="Times New Roman" w:hAnsi="Times New Roman"/>
          <w:spacing w:val="0"/>
          <w:sz w:val="24"/>
          <w:szCs w:val="24"/>
        </w:rPr>
      </w:r>
    </w:p>
    <w:p>
      <w:pPr>
        <w:pStyle w:val="Heading1"/>
        <w:ind w:hanging="0" w:start="0"/>
        <w:rPr/>
      </w:pPr>
      <w:r>
        <w:rPr/>
        <w:t xml:space="preserve">Update to the ISO’s Implementation of the “Desired Dispatch Filter” (slack generator) as part of Electronic Dispatch </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Dave LaPlante (ISO) gave an update to the implementation of the slack generator as part of the dispatch algorithm – though now it is known more euphemistically as the “desired dispatch filter”, seemingly to take away the impression that the ISO is inserting a virtual generator into the merit order and thus tampering with the market price through use of a non-existent price-limiting unit.</w:t>
      </w:r>
    </w:p>
    <w:p>
      <w:pPr>
        <w:pStyle w:val="BodyText"/>
        <w:jc w:val="start"/>
        <w:rPr>
          <w:rFonts w:ascii="Times New Roman" w:hAnsi="Times New Roman" w:cs="Times New Roman"/>
          <w:spacing w:val="0"/>
          <w:sz w:val="24"/>
          <w:szCs w:val="24"/>
        </w:rPr>
      </w:pPr>
      <w:r>
        <w:rPr>
          <w:rFonts w:cs="Times New Roman" w:ascii="Times New Roman" w:hAnsi="Times New Roman"/>
          <w:spacing w:val="0"/>
          <w:sz w:val="24"/>
          <w:szCs w:val="24"/>
        </w:rPr>
        <w:t>He presented the data available thus far, indicating that use of the filter has not resulted in any substantial changes to the control area “area control error”, and thus has not meant there is greater leaning on the ties.</w:t>
      </w:r>
    </w:p>
    <w:p>
      <w:pPr>
        <w:pStyle w:val="Normal"/>
        <w:rPr/>
      </w:pPr>
      <w:r>
        <w:rPr/>
      </w:r>
    </w:p>
    <w:p>
      <w:pPr>
        <w:pStyle w:val="Heading1"/>
        <w:ind w:hanging="0" w:start="0"/>
        <w:rPr/>
      </w:pPr>
      <w:r>
        <w:rPr/>
        <w:t>Next NEPOOL MC Meeting</w:t>
      </w:r>
    </w:p>
    <w:p>
      <w:pPr>
        <w:pStyle w:val="BodyText"/>
        <w:spacing w:before="0" w:after="220"/>
        <w:jc w:val="start"/>
        <w:rPr>
          <w:rFonts w:ascii="Times New Roman" w:hAnsi="Times New Roman" w:cs="Times New Roman"/>
          <w:spacing w:val="0"/>
          <w:sz w:val="24"/>
          <w:szCs w:val="24"/>
        </w:rPr>
      </w:pPr>
      <w:r>
        <w:rPr>
          <w:rFonts w:cs="Times New Roman" w:ascii="Times New Roman" w:hAnsi="Times New Roman"/>
          <w:spacing w:val="0"/>
          <w:sz w:val="24"/>
          <w:szCs w:val="24"/>
        </w:rPr>
        <w:t>The next Markets Committee meeting is scheduled for October 30 2001.</w:t>
      </w:r>
    </w:p>
    <w:sectPr>
      <w:footnotePr>
        <w:numFmt w:val="decimal"/>
      </w:footnotePr>
      <w:type w:val="continuous"/>
      <w:pgSz w:w="12240" w:h="15840"/>
      <w:pgMar w:left="1800" w:right="1800" w:gutter="0" w:header="960" w:top="1016" w:footer="335"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00" w:after="0"/>
      <w:ind w:start="-1267" w:end="0"/>
      <w:rPr/>
    </w:pPr>
    <w:r>
      <w:rPr/>
      <w:drawing>
        <wp:inline distT="0" distB="0" distL="0" distR="0">
          <wp:extent cx="7176770" cy="8502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 t="-7" r="-1" b="-7"/>
                  <a:stretch>
                    <a:fillRect/>
                  </a:stretch>
                </pic:blipFill>
                <pic:spPr bwMode="auto">
                  <a:xfrm>
                    <a:off x="0" y="0"/>
                    <a:ext cx="7176770" cy="850265"/>
                  </a:xfrm>
                  <a:prstGeom prst="rect">
                    <a:avLst/>
                  </a:prstGeom>
                  <a:noFill/>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00" w:leader="none"/>
        <w:tab w:val="right" w:pos="9000" w:leader="none"/>
      </w:tabs>
      <w:spacing w:before="200" w:after="0"/>
      <w:ind w:start="-1260" w:end="-360"/>
      <w:rPr/>
    </w:pPr>
    <w:r>
      <w:rPr/>
      <w:drawing>
        <wp:inline distT="0" distB="0" distL="0" distR="0">
          <wp:extent cx="7176770" cy="850265"/>
          <wp:effectExtent l="0" t="0" r="0" b="0"/>
          <wp:docPr id="3" name="foot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descr="" title=""/>
                  <pic:cNvPicPr>
                    <a:picLocks noChangeAspect="1" noChangeArrowheads="1"/>
                  </pic:cNvPicPr>
                </pic:nvPicPr>
                <pic:blipFill>
                  <a:blip r:embed="rId1"/>
                  <a:srcRect l="-1" t="-7" r="-1" b="-7"/>
                  <a:stretch>
                    <a:fillRect/>
                  </a:stretch>
                </pic:blipFill>
                <pic:spPr bwMode="auto">
                  <a:xfrm>
                    <a:off x="0" y="0"/>
                    <a:ext cx="7176770" cy="850265"/>
                  </a:xfrm>
                  <a:prstGeom prst="rect">
                    <a:avLst/>
                  </a:prstGeom>
                  <a:noFill/>
                </pic:spPr>
              </pic:pic>
            </a:graphicData>
          </a:graphic>
        </wp:inline>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addition to ten-minute spinning, ten-minute non-spinning, and thirty-minute reserve.  Technically, ROR is not really an “operating” reserve, as its use is to replace depleted operating reserves, but not serve as the actual operating reserve (which is available to provide energy under contingency situations).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t>Confidential and Privileged</w:t>
      <w:tab/>
      <w:tab/>
    </w:r>
    <w:r>
      <w:rPr>
        <w:rFonts w:eastAsia="Wingdings" w:cs="Wingdings" w:ascii="Wingdings" w:hAnsi="Wingdings"/>
      </w:rPr>
      <w:sym w:font="Wingdings" w:char="f06c"/>
    </w:r>
    <w:r>
      <w:rP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ind w:start="-540" w:end="0"/>
      <w:rPr>
        <w:color w:val="0000FF"/>
      </w:rPr>
    </w:pPr>
    <w:r>
      <w:rPr>
        <w:color w:val="0000FF"/>
      </w:rPr>
      <w:drawing>
        <wp:inline distT="0" distB="0" distL="0" distR="0">
          <wp:extent cx="6214745" cy="1104900"/>
          <wp:effectExtent l="0" t="0" r="0" b="0"/>
          <wp:docPr id="1" name="taborto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ortop" descr="" title=""/>
                  <pic:cNvPicPr>
                    <a:picLocks noChangeAspect="1" noChangeArrowheads="1"/>
                  </pic:cNvPicPr>
                </pic:nvPicPr>
                <pic:blipFill>
                  <a:blip r:embed="rId1"/>
                  <a:srcRect l="-3" t="-19" r="-3" b="-19"/>
                  <a:stretch>
                    <a:fillRect/>
                  </a:stretch>
                </pic:blipFill>
                <pic:spPr bwMode="auto">
                  <a:xfrm>
                    <a:off x="0" y="0"/>
                    <a:ext cx="6214745" cy="110490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szCs w:val="22"/>
    </w:rPr>
  </w:style>
  <w:style w:type="paragraph" w:styleId="Heading2">
    <w:name w:val="heading 2"/>
    <w:basedOn w:val="Normal"/>
    <w:next w:val="BodyText"/>
    <w:qFormat/>
    <w:pPr>
      <w:keepNext w:val="true"/>
      <w:keepLines/>
      <w:numPr>
        <w:ilvl w:val="1"/>
        <w:numId w:val="1"/>
      </w:numPr>
      <w:spacing w:lineRule="atLeast" w:line="200"/>
      <w:outlineLvl w:val="1"/>
    </w:pPr>
    <w:rPr>
      <w:b/>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szCs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szCs w:val="18"/>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bCs/>
      <w:sz w:val="22"/>
      <w:szCs w:val="2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bCs/>
      <w:sz w:val="22"/>
      <w:szCs w:val="22"/>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4z6">
    <w:name w:val="WW8Num14z6"/>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szCs w:val="18"/>
    </w:rPr>
  </w:style>
  <w:style w:type="character" w:styleId="PageNumber">
    <w:name w:val="page number"/>
    <w:basedOn w:val="DefaultParagraphFont"/>
    <w:rPr>
      <w:sz w:val="18"/>
      <w:szCs w:val="18"/>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b/>
      <w:bCs/>
      <w:kern w:val="2"/>
      <w:sz w:val="32"/>
      <w:szCs w:val="32"/>
    </w:rPr>
  </w:style>
  <w:style w:type="paragraph" w:styleId="BodyText">
    <w:name w:val="Body Text"/>
    <w:basedOn w:val="Normal"/>
    <w:pPr>
      <w:spacing w:lineRule="atLeast" w:line="180" w:before="0" w:after="2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szCs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szCs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szCs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szCs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lineRule="auto" w:line="240" w:before="0" w:after="120"/>
      <w:ind w:firstLine="210" w:start="0" w:end="0"/>
      <w:jc w:val="start"/>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sz w:val="24"/>
      <w:szCs w:val="24"/>
    </w:rPr>
  </w:style>
  <w:style w:type="paragraph" w:styleId="EnvelopeReturn">
    <w:name w:val="envelope return"/>
    <w:basedOn w:val="Normal"/>
    <w:pPr/>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5"/>
      <w:sz w:val="20"/>
      <w:szCs w:val="20"/>
      <w:lang w:val="en-US" w:bidi="ar-SA" w:eastAsia="zh-CN"/>
    </w:rPr>
  </w:style>
  <w:style w:type="paragraph" w:styleId="NormalWeb">
    <w:name w:val="Normal (Web)"/>
    <w:basedOn w:val="Normal"/>
    <w:qFormat/>
    <w:pPr/>
    <w:rPr>
      <w:rFonts w:ascii="Times New Roman" w:hAnsi="Times New Roman" w:cs="Times New Roman"/>
      <w:sz w:val="24"/>
      <w:szCs w:val="24"/>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TCA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2001-10-16T19:52:00Z</dcterms:created>
  <dc:creator>Meredith Miller</dc:creator>
  <dc:description/>
  <dc:language>en-CA</dc:language>
  <cp:lastModifiedBy>bob</cp:lastModifiedBy>
  <cp:lastPrinted>2001-08-30T17:53:00Z</cp:lastPrinted>
  <dcterms:modified xsi:type="dcterms:W3CDTF">2001-10-16T19:52:00Z</dcterms:modified>
  <cp:revision>2</cp:revision>
  <dc:subject/>
  <dc:title>TCA Memo</dc:title>
</cp:coreProperties>
</file>