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0000FF"/>
        </w:rPr>
      </w:pPr>
      <w:r>
        <w:rPr>
          <w:color w:val="0000FF"/>
        </w:rPr>
      </w:r>
    </w:p>
    <w:p>
      <w:pPr>
        <w:pStyle w:val="Normal"/>
        <w:rPr>
          <w:color w:val="0000FF"/>
        </w:rPr>
      </w:pPr>
      <w:r>
        <w:rPr>
          <w:color w:val="0000FF"/>
        </w:rPr>
      </w:r>
    </w:p>
    <w:p>
      <w:pPr>
        <w:pStyle w:val="Normal"/>
        <w:rPr>
          <w:color w:val="0000FF"/>
        </w:rPr>
      </w:pPr>
      <w:r>
        <w:rPr>
          <w:color w:val="0000FF"/>
        </w:rPr>
      </w:r>
    </w:p>
    <w:p>
      <w:pPr>
        <w:pStyle w:val="Normal"/>
        <w:rPr>
          <w:color w:val="0000FF"/>
        </w:rPr>
      </w:pPr>
      <w:r>
        <w:rPr>
          <w:color w:val="0000FF"/>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sz w:val="48"/>
        </w:rPr>
      </w:pPr>
      <w:r>
        <w:rPr>
          <w:sz w:val="48"/>
        </w:rPr>
      </w:r>
    </w:p>
    <w:p>
      <w:pPr>
        <w:pStyle w:val="Normal"/>
        <w:jc w:val="center"/>
        <w:rPr>
          <w:sz w:val="48"/>
        </w:rPr>
      </w:pPr>
      <w:r>
        <w:rPr>
          <w:sz w:val="48"/>
        </w:rPr>
      </w:r>
    </w:p>
    <w:p>
      <w:pPr>
        <w:pStyle w:val="Normal"/>
        <w:jc w:val="center"/>
        <w:rPr>
          <w:sz w:val="48"/>
        </w:rPr>
      </w:pPr>
      <w:r>
        <w:rPr>
          <w:sz w:val="48"/>
        </w:rPr>
        <w:t xml:space="preserve">Commercial and Industrial </w:t>
      </w:r>
    </w:p>
    <w:p>
      <w:pPr>
        <w:pStyle w:val="Normal"/>
        <w:jc w:val="center"/>
        <w:rPr>
          <w:sz w:val="48"/>
        </w:rPr>
      </w:pPr>
      <w:r>
        <w:rPr>
          <w:sz w:val="48"/>
        </w:rPr>
        <w:t>Energy Efficiency Credits Program Proposal:</w:t>
      </w:r>
    </w:p>
    <w:p>
      <w:pPr>
        <w:pStyle w:val="Normal"/>
        <w:jc w:val="center"/>
        <w:rPr>
          <w:sz w:val="48"/>
        </w:rPr>
      </w:pPr>
      <w:r>
        <w:rPr>
          <w:sz w:val="48"/>
        </w:rPr>
      </w:r>
    </w:p>
    <w:p>
      <w:pPr>
        <w:pStyle w:val="Normal"/>
        <w:jc w:val="center"/>
        <w:rPr>
          <w:sz w:val="48"/>
        </w:rPr>
      </w:pPr>
      <w:r>
        <w:rPr>
          <w:sz w:val="48"/>
        </w:rPr>
        <w:t>An Extension of Green-e Services in Pennsylvania</w:t>
      </w:r>
    </w:p>
    <w:p>
      <w:pPr>
        <w:pStyle w:val="Normal"/>
        <w:jc w:val="center"/>
        <w:rPr>
          <w:sz w:val="48"/>
        </w:rPr>
      </w:pPr>
      <w:r>
        <w:rPr>
          <w:sz w:val="48"/>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 xml:space="preserve">By </w:t>
      </w:r>
    </w:p>
    <w:p>
      <w:pPr>
        <w:pStyle w:val="Normal"/>
        <w:jc w:val="center"/>
        <w:rPr/>
      </w:pPr>
      <w:r>
        <w:rPr/>
        <w:t>The Center for Energy and Climate Solutions</w:t>
      </w:r>
    </w:p>
    <w:p>
      <w:pPr>
        <w:pStyle w:val="Normal"/>
        <w:jc w:val="center"/>
        <w:rPr/>
      </w:pPr>
      <w:r>
        <w:rPr/>
        <w:t>And</w:t>
      </w:r>
    </w:p>
    <w:p>
      <w:pPr>
        <w:pStyle w:val="Normal"/>
        <w:jc w:val="center"/>
        <w:rPr/>
      </w:pPr>
      <w:r>
        <w:rPr/>
        <w:t>Enron Energy Services</w:t>
      </w:r>
    </w:p>
    <w:p>
      <w:pPr>
        <w:pStyle w:val="Normal"/>
        <w:jc w:val="center"/>
        <w:rPr/>
      </w:pPr>
      <w:r>
        <w:rPr/>
      </w:r>
    </w:p>
    <w:p>
      <w:pPr>
        <w:pStyle w:val="Normal"/>
        <w:jc w:val="center"/>
        <w:rPr/>
      </w:pPr>
      <w:r>
        <w:rPr/>
        <w:t>July 2001</w:t>
      </w:r>
    </w:p>
    <w:p>
      <w:pPr>
        <w:sectPr>
          <w:footerReference w:type="default" r:id="rId2"/>
          <w:footerReference w:type="first" r:id="rId3"/>
          <w:type w:val="nextPage"/>
          <w:pgSz w:w="12240" w:h="15840"/>
          <w:pgMar w:left="1800" w:right="1800" w:gutter="0" w:header="0" w:top="1440" w:footer="720" w:bottom="1440"/>
          <w:pgNumType w:start="1" w:fmt="decimal"/>
          <w:formProt w:val="false"/>
          <w:titlePg/>
          <w:textDirection w:val="lrTb"/>
          <w:docGrid w:type="default" w:linePitch="360" w:charSpace="0"/>
        </w:sectPr>
      </w:pPr>
    </w:p>
    <w:p>
      <w:pPr>
        <w:sectPr>
          <w:type w:val="continuous"/>
          <w:pgSz w:w="12240" w:h="15840"/>
          <w:pgMar w:left="1800" w:right="1800" w:gutter="0" w:header="0" w:top="1440" w:footer="720" w:bottom="1440"/>
          <w:formProt w:val="false"/>
          <w:titlePg/>
          <w:textDirection w:val="lrTb"/>
          <w:docGrid w:type="default" w:linePitch="360" w:charSpace="0"/>
        </w:sectPr>
        <w:pStyle w:val="Normal"/>
        <w:numPr>
          <w:ilvl w:val="0"/>
          <w:numId w:val="0"/>
        </w:numPr>
        <w:jc w:val="center"/>
        <w:rPr/>
      </w:pPr>
      <w:r>
        <w:rPr/>
      </w:r>
      <w:r>
        <w:br w:type="page"/>
      </w:r>
    </w:p>
    <w:p>
      <w:pPr>
        <w:pStyle w:val="Normal"/>
        <w:jc w:val="center"/>
        <w:rPr>
          <w:b/>
        </w:rPr>
      </w:pPr>
      <w:r>
        <w:rPr>
          <w:b/>
          <w:sz w:val="28"/>
        </w:rPr>
        <w:t>Table of Contents</w:t>
      </w:r>
    </w:p>
    <w:p>
      <w:pPr>
        <w:pStyle w:val="Normal"/>
        <w:rPr>
          <w:b/>
        </w:rPr>
      </w:pPr>
      <w:r>
        <w:rPr>
          <w:b/>
        </w:rPr>
      </w:r>
    </w:p>
    <w:p>
      <w:pPr>
        <w:pStyle w:val="NormalWeb"/>
        <w:widowControl/>
        <w:tabs>
          <w:tab w:val="clear" w:pos="720"/>
          <w:tab w:val="left" w:pos="540" w:leader="none"/>
        </w:tabs>
        <w:spacing w:before="0" w:after="0"/>
        <w:ind w:hanging="540" w:start="540" w:end="0"/>
        <w:rPr>
          <w:b/>
        </w:rPr>
      </w:pPr>
      <w:r>
        <w:rPr>
          <w:b/>
        </w:rPr>
        <w:t>I.</w:t>
        <w:tab/>
        <w:t>Introduction</w:t>
      </w:r>
    </w:p>
    <w:p>
      <w:pPr>
        <w:pStyle w:val="NormalWeb"/>
        <w:widowControl/>
        <w:spacing w:before="0" w:after="0"/>
        <w:ind w:start="360" w:end="0"/>
        <w:rPr>
          <w:b/>
        </w:rPr>
      </w:pPr>
      <w:r>
        <w:rPr>
          <w:b/>
        </w:rPr>
      </w:r>
    </w:p>
    <w:p>
      <w:pPr>
        <w:pStyle w:val="NormalWeb"/>
        <w:widowControl/>
        <w:tabs>
          <w:tab w:val="clear" w:pos="720"/>
          <w:tab w:val="left" w:pos="540" w:leader="none"/>
        </w:tabs>
        <w:spacing w:before="0" w:after="0"/>
        <w:ind w:hanging="540" w:start="540" w:end="0"/>
        <w:rPr>
          <w:b/>
        </w:rPr>
      </w:pPr>
      <w:r>
        <w:rPr>
          <w:b/>
        </w:rPr>
        <w:t>II.</w:t>
        <w:tab/>
        <w:t>An Energy Efficiency Credit Program for the Commercial and Industrial Sectors</w:t>
      </w:r>
    </w:p>
    <w:p>
      <w:pPr>
        <w:pStyle w:val="NormalWeb"/>
        <w:widowControl/>
        <w:spacing w:before="0" w:after="0"/>
        <w:ind w:hanging="540" w:start="1440" w:end="0"/>
        <w:rPr/>
      </w:pPr>
      <w:r>
        <w:rPr/>
        <w:t>The Benefits of a Energy Efficiency Credit Program</w:t>
      </w:r>
    </w:p>
    <w:p>
      <w:pPr>
        <w:pStyle w:val="NormalWeb"/>
        <w:widowControl/>
        <w:spacing w:before="0" w:after="0"/>
        <w:ind w:firstLine="180" w:start="1260" w:end="0"/>
        <w:rPr/>
      </w:pPr>
      <w:r>
        <w:rPr/>
        <w:t xml:space="preserve">Energy Efficiency Credits Help Meet Market Demand </w:t>
      </w:r>
    </w:p>
    <w:p>
      <w:pPr>
        <w:pStyle w:val="NormalWeb"/>
        <w:widowControl/>
        <w:spacing w:before="0" w:after="0"/>
        <w:ind w:firstLine="180" w:start="1260" w:end="0"/>
        <w:rPr/>
      </w:pPr>
      <w:r>
        <w:rPr/>
        <w:t>Environmental Benefits</w:t>
      </w:r>
    </w:p>
    <w:p>
      <w:pPr>
        <w:pStyle w:val="NormalWeb"/>
        <w:widowControl/>
        <w:spacing w:before="0" w:after="0"/>
        <w:ind w:firstLine="360" w:start="1080" w:end="0"/>
        <w:rPr/>
      </w:pPr>
      <w:r>
        <w:rPr/>
      </w:r>
    </w:p>
    <w:p>
      <w:pPr>
        <w:pStyle w:val="NormalWeb"/>
        <w:widowControl/>
        <w:tabs>
          <w:tab w:val="clear" w:pos="720"/>
          <w:tab w:val="left" w:pos="540" w:leader="none"/>
        </w:tabs>
        <w:spacing w:before="0" w:after="0"/>
        <w:ind w:hanging="540" w:start="540" w:end="0"/>
        <w:rPr>
          <w:b/>
        </w:rPr>
      </w:pPr>
      <w:r>
        <w:rPr>
          <w:b/>
        </w:rPr>
        <w:t>III.</w:t>
        <w:tab/>
        <w:t>Designing an Energy Efficiency Credits Program</w:t>
      </w:r>
    </w:p>
    <w:p>
      <w:pPr>
        <w:pStyle w:val="NormalWeb"/>
        <w:widowControl/>
        <w:spacing w:before="0" w:after="0"/>
        <w:ind w:hanging="540" w:start="1440" w:end="0"/>
        <w:rPr/>
      </w:pPr>
      <w:r>
        <w:rPr/>
        <w:t xml:space="preserve">Fundamental Program Mechanics </w:t>
      </w:r>
    </w:p>
    <w:p>
      <w:pPr>
        <w:pStyle w:val="NormalWeb"/>
        <w:widowControl/>
        <w:spacing w:before="0" w:after="0"/>
        <w:ind w:hanging="540" w:start="1440" w:end="0"/>
        <w:rPr/>
      </w:pPr>
      <w:r>
        <w:rPr/>
        <w:tab/>
        <w:t>Wholesale: Harvester</w:t>
      </w:r>
    </w:p>
    <w:p>
      <w:pPr>
        <w:pStyle w:val="NormalWeb"/>
        <w:widowControl/>
        <w:spacing w:before="0" w:after="0"/>
        <w:ind w:hanging="540" w:start="1440" w:end="0"/>
        <w:rPr/>
      </w:pPr>
      <w:r>
        <w:rPr/>
        <w:tab/>
        <w:t>Retail: Green-e Certified Supplier</w:t>
      </w:r>
    </w:p>
    <w:p>
      <w:pPr>
        <w:pStyle w:val="NormalWeb"/>
        <w:widowControl/>
        <w:spacing w:before="0" w:after="0"/>
        <w:ind w:hanging="540" w:start="1440" w:end="0"/>
        <w:rPr/>
      </w:pPr>
      <w:r>
        <w:rPr/>
        <w:t>Measurement and Verification</w:t>
      </w:r>
    </w:p>
    <w:p>
      <w:pPr>
        <w:pStyle w:val="NormalWeb"/>
        <w:widowControl/>
        <w:spacing w:before="0" w:after="0"/>
        <w:ind w:hanging="540" w:start="1440" w:end="0"/>
        <w:rPr/>
      </w:pPr>
      <w:r>
        <w:rPr/>
        <w:t>Valuing Energy Efficiency Credits</w:t>
      </w:r>
    </w:p>
    <w:p>
      <w:pPr>
        <w:pStyle w:val="NormalWeb"/>
        <w:widowControl/>
        <w:spacing w:before="0" w:after="0"/>
        <w:ind w:hanging="540" w:start="1440" w:end="0"/>
        <w:rPr/>
      </w:pPr>
      <w:r>
        <w:rPr/>
        <w:t>Establishing Additionality</w:t>
      </w:r>
    </w:p>
    <w:p>
      <w:pPr>
        <w:pStyle w:val="NormalWeb"/>
        <w:widowControl/>
        <w:spacing w:before="0" w:after="0"/>
        <w:ind w:hanging="540" w:start="1440" w:end="0"/>
        <w:rPr/>
      </w:pPr>
      <w:r>
        <w:rPr/>
        <w:tab/>
        <w:t>Eligibility of New and Existing Projects</w:t>
      </w:r>
    </w:p>
    <w:p>
      <w:pPr>
        <w:pStyle w:val="NormalWeb"/>
        <w:widowControl/>
        <w:spacing w:before="0" w:after="0"/>
        <w:ind w:hanging="540" w:start="1440" w:end="0"/>
        <w:rPr/>
      </w:pPr>
      <w:r>
        <w:rPr/>
        <w:tab/>
        <w:t>New Building Construction</w:t>
      </w:r>
    </w:p>
    <w:p>
      <w:pPr>
        <w:pStyle w:val="NormalWeb"/>
        <w:widowControl/>
        <w:spacing w:before="0" w:after="0"/>
        <w:ind w:hanging="540" w:start="1440" w:end="0"/>
        <w:rPr/>
      </w:pPr>
      <w:r>
        <w:rPr/>
        <w:tab/>
        <w:t>Energy Efficiency Credits and Renewable Parity</w:t>
      </w:r>
    </w:p>
    <w:p>
      <w:pPr>
        <w:pStyle w:val="NormalWeb"/>
        <w:widowControl/>
        <w:spacing w:before="0" w:after="0"/>
        <w:ind w:hanging="540" w:start="1440" w:end="0"/>
        <w:rPr/>
      </w:pPr>
      <w:r>
        <w:rPr/>
        <w:t>Transactions and Life Cycle</w:t>
      </w:r>
    </w:p>
    <w:p>
      <w:pPr>
        <w:pStyle w:val="NormalWeb"/>
        <w:widowControl/>
        <w:spacing w:before="0" w:after="0"/>
        <w:ind w:hanging="540" w:start="1440" w:end="0"/>
        <w:rPr/>
      </w:pPr>
      <w:r>
        <w:rPr/>
        <w:t>Percentage of Green Energy Product</w:t>
      </w:r>
    </w:p>
    <w:p>
      <w:pPr>
        <w:pStyle w:val="NormalWeb"/>
        <w:widowControl/>
        <w:spacing w:before="0" w:after="0"/>
        <w:ind w:hanging="540" w:start="1440" w:end="0"/>
        <w:rPr/>
      </w:pPr>
      <w:r>
        <w:rPr/>
        <w:t>Attributes Ownership</w:t>
      </w:r>
    </w:p>
    <w:p>
      <w:pPr>
        <w:pStyle w:val="NormalWeb"/>
        <w:widowControl/>
        <w:spacing w:before="0" w:after="0"/>
        <w:ind w:hanging="540" w:start="1440" w:end="0"/>
        <w:rPr/>
      </w:pPr>
      <w:r>
        <w:rPr/>
        <w:t>Penalties</w:t>
      </w:r>
    </w:p>
    <w:p>
      <w:pPr>
        <w:pStyle w:val="NormalWeb"/>
        <w:widowControl/>
        <w:spacing w:before="0" w:after="0"/>
        <w:ind w:hanging="540" w:start="1440" w:end="0"/>
        <w:rPr/>
      </w:pPr>
      <w:r>
        <w:rPr/>
        <w:t xml:space="preserve">Program Management </w:t>
      </w:r>
    </w:p>
    <w:p>
      <w:pPr>
        <w:pStyle w:val="NormalWeb"/>
        <w:widowControl/>
        <w:spacing w:before="0" w:after="0"/>
        <w:ind w:hanging="540" w:start="1440" w:end="0"/>
        <w:rPr/>
      </w:pPr>
      <w:r>
        <w:rPr/>
        <w:t>Program Start Date</w:t>
      </w:r>
    </w:p>
    <w:p>
      <w:pPr>
        <w:pStyle w:val="NormalWeb"/>
        <w:widowControl/>
        <w:spacing w:before="0" w:after="0"/>
        <w:ind w:start="1080" w:end="0"/>
        <w:rPr/>
      </w:pPr>
      <w:r>
        <w:rPr/>
      </w:r>
    </w:p>
    <w:p>
      <w:pPr>
        <w:pStyle w:val="NormalWeb"/>
        <w:widowControl/>
        <w:tabs>
          <w:tab w:val="clear" w:pos="720"/>
          <w:tab w:val="left" w:pos="540" w:leader="none"/>
        </w:tabs>
        <w:spacing w:before="0" w:after="0"/>
        <w:ind w:hanging="540" w:start="540" w:end="0"/>
        <w:rPr>
          <w:b/>
        </w:rPr>
      </w:pPr>
      <w:r>
        <w:rPr>
          <w:b/>
        </w:rPr>
        <w:t>IV.</w:t>
        <w:tab/>
        <w:t>Conclusion</w:t>
      </w:r>
    </w:p>
    <w:p>
      <w:pPr>
        <w:pStyle w:val="NormalWeb"/>
        <w:widowControl/>
        <w:spacing w:before="0" w:after="0"/>
        <w:ind w:hanging="180" w:start="1080" w:end="0"/>
        <w:rPr>
          <w:b/>
        </w:rPr>
      </w:pPr>
      <w:r>
        <w:rPr>
          <w:b/>
        </w:rPr>
      </w:r>
    </w:p>
    <w:p>
      <w:pPr>
        <w:pStyle w:val="Normal"/>
        <w:rPr/>
      </w:pPr>
      <w:r>
        <w:rPr/>
      </w:r>
    </w:p>
    <w:p>
      <w:pPr>
        <w:pStyle w:val="Normal"/>
        <w:rPr/>
      </w:pPr>
      <w:r>
        <w:rPr/>
        <w:tab/>
      </w:r>
    </w:p>
    <w:p>
      <w:pPr>
        <w:pStyle w:val="Normal"/>
        <w:rPr/>
      </w:pPr>
      <w:r>
        <w:rPr/>
        <w:tab/>
        <w:tab/>
      </w:r>
    </w:p>
    <w:p>
      <w:pPr>
        <w:pStyle w:val="Normal"/>
        <w:rPr/>
      </w:pPr>
      <w:r>
        <w:rPr/>
        <w:tab/>
      </w:r>
    </w:p>
    <w:p>
      <w:pPr>
        <w:pStyle w:val="Normal"/>
        <w:rPr/>
      </w:pPr>
      <w:r>
        <w:rPr/>
        <w:tab/>
      </w:r>
    </w:p>
    <w:p>
      <w:pPr>
        <w:pStyle w:val="Normal"/>
        <w:rPr/>
      </w:pPr>
      <w:r>
        <w:rPr/>
      </w:r>
    </w:p>
    <w:p>
      <w:pPr>
        <w:pStyle w:val="Heading2"/>
        <w:widowControl/>
        <w:ind w:hanging="0" w:start="0"/>
        <w:jc w:val="start"/>
        <w:rPr>
          <w:b/>
          <w:sz w:val="24"/>
        </w:rPr>
      </w:pPr>
      <w:r>
        <w:rPr>
          <w:b/>
          <w:sz w:val="24"/>
        </w:rPr>
        <w:t>Tables</w:t>
      </w:r>
    </w:p>
    <w:p>
      <w:pPr>
        <w:pStyle w:val="Normal"/>
        <w:rPr>
          <w:b/>
          <w:sz w:val="24"/>
        </w:rPr>
      </w:pPr>
      <w:r>
        <w:rPr>
          <w:b/>
          <w:sz w:val="24"/>
        </w:rPr>
      </w:r>
    </w:p>
    <w:p>
      <w:pPr>
        <w:pStyle w:val="Normal"/>
        <w:rPr/>
      </w:pPr>
      <w:r>
        <w:rPr>
          <w:b/>
          <w:sz w:val="24"/>
        </w:rPr>
        <w:t xml:space="preserve">Table 1.  </w:t>
      </w:r>
      <w:r>
        <w:rPr>
          <w:sz w:val="24"/>
        </w:rPr>
        <w:t>Wind Development in the State of Pennsylvania</w:t>
      </w:r>
    </w:p>
    <w:p>
      <w:pPr>
        <w:pStyle w:val="Normal"/>
        <w:rPr/>
      </w:pPr>
      <w:r>
        <w:rPr>
          <w:b/>
          <w:sz w:val="24"/>
        </w:rPr>
        <w:t xml:space="preserve">Table 2.  </w:t>
      </w:r>
      <w:r>
        <w:rPr>
          <w:sz w:val="24"/>
        </w:rPr>
        <w:t xml:space="preserve">Pennsylvania Electricity Capacity </w:t>
      </w:r>
    </w:p>
    <w:p>
      <w:pPr>
        <w:pStyle w:val="Normal"/>
        <w:rPr/>
      </w:pPr>
      <w:r>
        <w:rPr>
          <w:b/>
          <w:sz w:val="24"/>
        </w:rPr>
        <w:t xml:space="preserve">Table 3.  </w:t>
      </w:r>
      <w:r>
        <w:rPr>
          <w:sz w:val="24"/>
        </w:rPr>
        <w:t>Mid-Atlantic Emissions Per Megawatt-Hour</w:t>
      </w:r>
    </w:p>
    <w:p>
      <w:pPr>
        <w:pStyle w:val="Normal"/>
        <w:rPr/>
      </w:pPr>
      <w:r>
        <w:rPr>
          <w:b/>
          <w:sz w:val="24"/>
        </w:rPr>
        <w:t xml:space="preserve">Table 4.  </w:t>
      </w:r>
      <w:r>
        <w:rPr>
          <w:sz w:val="24"/>
        </w:rPr>
        <w:t>Steps to Creating Energy Efficiency Credits</w:t>
      </w:r>
    </w:p>
    <w:p>
      <w:pPr>
        <w:pStyle w:val="Heading1"/>
        <w:widowControl/>
        <w:ind w:hanging="0" w:start="0"/>
        <w:rPr/>
      </w:pPr>
      <w:r>
        <w:rPr/>
        <w:t xml:space="preserve">Table 5.  </w:t>
      </w:r>
      <w:r>
        <w:rPr>
          <w:b w:val="false"/>
        </w:rPr>
        <w:t>Example of Product Components Based on Blocks</w:t>
      </w:r>
    </w:p>
    <w:p>
      <w:pPr>
        <w:pStyle w:val="Normal"/>
        <w:rPr/>
      </w:pPr>
      <w:r>
        <w:rPr>
          <w:b/>
          <w:sz w:val="24"/>
        </w:rPr>
        <w:t xml:space="preserve">Table 6.  </w:t>
      </w:r>
      <w:r>
        <w:rPr>
          <w:sz w:val="24"/>
        </w:rPr>
        <w:t>Example of Product Based on Percentage of Use</w:t>
      </w:r>
    </w:p>
    <w:p>
      <w:pPr>
        <w:pStyle w:val="Normal"/>
        <w:rPr>
          <w:b/>
          <w:sz w:val="24"/>
        </w:rPr>
      </w:pPr>
      <w:r>
        <w:rPr>
          <w:b/>
          <w:sz w:val="24"/>
        </w:rPr>
        <w:t xml:space="preserve">Table 7.  </w:t>
      </w:r>
      <w:r>
        <w:rPr>
          <w:sz w:val="24"/>
        </w:rPr>
        <w:t>Texas A&amp;M LoanStar Program Data</w:t>
      </w:r>
    </w:p>
    <w:p>
      <w:pPr>
        <w:pStyle w:val="Normal"/>
        <w:rPr>
          <w:b/>
          <w:sz w:val="24"/>
        </w:rPr>
      </w:pPr>
      <w:r>
        <w:rPr>
          <w:b/>
          <w:sz w:val="24"/>
        </w:rPr>
      </w:r>
    </w:p>
    <w:p>
      <w:pPr>
        <w:sectPr>
          <w:footerReference w:type="default" r:id="rId4"/>
          <w:footerReference w:type="first" r:id="rId5"/>
          <w:type w:val="nextPage"/>
          <w:pgSz w:w="12240" w:h="15840"/>
          <w:pgMar w:left="1800" w:right="1800" w:gutter="0" w:header="0" w:top="1440" w:footer="720" w:bottom="1440"/>
          <w:pgNumType w:start="1" w:fmt="decimal"/>
          <w:formProt w:val="false"/>
          <w:titlePg/>
          <w:textDirection w:val="lrTb"/>
          <w:docGrid w:type="default" w:linePitch="360" w:charSpace="0"/>
        </w:sectPr>
      </w:pPr>
    </w:p>
    <w:p>
      <w:pPr>
        <w:sectPr>
          <w:type w:val="continuous"/>
          <w:pgSz w:w="12240" w:h="15840"/>
          <w:pgMar w:left="1800" w:right="1800" w:gutter="0" w:header="0" w:top="1440" w:footer="720" w:bottom="1440"/>
          <w:formProt w:val="false"/>
          <w:titlePg/>
          <w:textDirection w:val="lrTb"/>
          <w:docGrid w:type="default" w:linePitch="360" w:charSpace="0"/>
        </w:sectPr>
        <w:pStyle w:val="Normal"/>
        <w:numPr>
          <w:ilvl w:val="0"/>
          <w:numId w:val="0"/>
        </w:numPr>
        <w:rPr>
          <w:sz w:val="24"/>
        </w:rPr>
      </w:pPr>
      <w:r>
        <w:rPr>
          <w:sz w:val="24"/>
        </w:rPr>
      </w:r>
      <w:r>
        <w:br w:type="page"/>
      </w:r>
    </w:p>
    <w:p>
      <w:pPr>
        <w:pStyle w:val="Normal"/>
        <w:rPr>
          <w:b/>
        </w:rPr>
      </w:pPr>
      <w:r>
        <w:rPr>
          <w:b/>
          <w:sz w:val="24"/>
        </w:rPr>
        <w:t>I.</w:t>
        <w:tab/>
        <w:t>Introduction</w:t>
      </w:r>
    </w:p>
    <w:p>
      <w:pPr>
        <w:pStyle w:val="Normal"/>
        <w:rPr>
          <w:b/>
        </w:rPr>
      </w:pPr>
      <w:r>
        <w:rPr>
          <w:b/>
        </w:rPr>
      </w:r>
    </w:p>
    <w:p>
      <w:pPr>
        <w:pStyle w:val="Normal"/>
        <w:jc w:val="both"/>
        <w:rPr/>
      </w:pPr>
      <w:r>
        <w:rPr>
          <w:sz w:val="24"/>
        </w:rPr>
        <w:t>Enron Energy Services and the Center for Energy and Climate Solutions (herein referred to as “the Team”) have joined forces to develop a proposed expansion of the Pennsylvania Energy Efficiency Credits (EEC) program to include energy savings derived from commercial and industrial energy efficiency projects for incorporation into Green-e certified products.  The Mid-Atlantic Advisory Committee (MAAC) and the Green Power Board have already approved a residential Negawatts program, although to date no products have been marketed under it</w:t>
      </w:r>
      <w:r>
        <w:rPr>
          <w:rStyle w:val="FootnoteCharacters"/>
          <w:rStyle w:val="FootnoteReference"/>
          <w:sz w:val="24"/>
        </w:rPr>
        <w:footnoteReference w:id="2"/>
      </w:r>
      <w:r>
        <w:rPr>
          <w:sz w:val="24"/>
        </w:rPr>
        <w:t xml:space="preserve">.  The team believes that expansion of the Negawatt program will increase the availability of competitive customer offerings and the environmental benefits from Green-e certified products.  Industry, governmental and non-profit stakeholders involved in the Green-e Program support a C&amp;I Energy Efficiency Credits program.  As such, the timing is right and the momentum exists for consideration and development of a C&amp;I EEC Program.  </w:t>
      </w:r>
    </w:p>
    <w:p>
      <w:pPr>
        <w:pStyle w:val="Normal"/>
        <w:jc w:val="both"/>
        <w:rPr>
          <w:sz w:val="24"/>
        </w:rPr>
      </w:pPr>
      <w:r>
        <w:rPr>
          <w:sz w:val="24"/>
        </w:rPr>
      </w:r>
    </w:p>
    <w:p>
      <w:pPr>
        <w:pStyle w:val="Normal"/>
        <w:jc w:val="both"/>
        <w:rPr>
          <w:sz w:val="24"/>
        </w:rPr>
      </w:pPr>
      <w:r>
        <w:rPr>
          <w:sz w:val="24"/>
        </w:rPr>
        <w:t>The purpose of this paper is to provide a rationale for a EEC program derived from commercial and industrial projects, illustrate a potential market structure, and provide recommendations for how to proceed.  The goal is to obtain endorsement for a program in Pennsylvania by working with the Mid-Atlantic Green-e Negawatts Subcommittee, the Mid-Atlantic Green-e Advisory Committee and the Green Power Board.</w:t>
      </w:r>
    </w:p>
    <w:p>
      <w:pPr>
        <w:pStyle w:val="Normal"/>
        <w:jc w:val="both"/>
        <w:rPr>
          <w:sz w:val="24"/>
        </w:rPr>
      </w:pPr>
      <w:r>
        <w:rPr>
          <w:sz w:val="24"/>
        </w:rPr>
      </w:r>
    </w:p>
    <w:p>
      <w:pPr>
        <w:pStyle w:val="Normal"/>
        <w:spacing w:before="100" w:after="100"/>
        <w:jc w:val="both"/>
        <w:rPr>
          <w:sz w:val="24"/>
        </w:rPr>
      </w:pPr>
      <w:r>
        <w:rPr>
          <w:sz w:val="24"/>
        </w:rPr>
        <w:t>The Team requests that this C&amp;I-based EEC program be supported by the Green-e brand, administered by the Center for Resource Solutions, and that the credits be eligible for inclusion in Green-e certified products.</w:t>
      </w:r>
    </w:p>
    <w:p>
      <w:pPr>
        <w:pStyle w:val="Normal"/>
        <w:rPr>
          <w:b/>
          <w:sz w:val="24"/>
        </w:rPr>
      </w:pPr>
      <w:r>
        <w:rPr>
          <w:b/>
          <w:sz w:val="24"/>
        </w:rPr>
      </w:r>
    </w:p>
    <w:p>
      <w:pPr>
        <w:pStyle w:val="Normal"/>
        <w:ind w:hanging="720" w:start="720" w:end="0"/>
        <w:rPr>
          <w:b/>
          <w:sz w:val="24"/>
        </w:rPr>
      </w:pPr>
      <w:r>
        <w:rPr>
          <w:b/>
          <w:sz w:val="24"/>
        </w:rPr>
        <w:t>II.</w:t>
        <w:tab/>
        <w:t>An Energy Efficiency Credit Program for the Commercial and Industrial Sectors</w:t>
      </w:r>
    </w:p>
    <w:p>
      <w:pPr>
        <w:pStyle w:val="NormalWeb"/>
        <w:widowControl/>
        <w:spacing w:before="0" w:after="0"/>
        <w:rPr>
          <w:b/>
          <w:sz w:val="24"/>
        </w:rPr>
      </w:pPr>
      <w:r>
        <w:rPr>
          <w:b/>
          <w:sz w:val="24"/>
        </w:rPr>
      </w:r>
    </w:p>
    <w:p>
      <w:pPr>
        <w:pStyle w:val="Normal"/>
        <w:jc w:val="both"/>
        <w:rPr>
          <w:sz w:val="24"/>
        </w:rPr>
      </w:pPr>
      <w:r>
        <w:rPr>
          <w:sz w:val="24"/>
        </w:rPr>
        <w:t xml:space="preserve">The “Energy Efficiency Credits Program” is the name suggested by the Team to describe a program to use energy savings derived from commercial and industrial energy efficiency projects as a component of Green-e certified renewable products. “Energy Efficiency Credits” represent the energy efficiency savings derived from energy efficiency projects that meet the standards described within this proposal.  </w:t>
      </w:r>
    </w:p>
    <w:p>
      <w:pPr>
        <w:pStyle w:val="Normal"/>
        <w:jc w:val="both"/>
        <w:rPr>
          <w:sz w:val="24"/>
        </w:rPr>
      </w:pPr>
      <w:r>
        <w:rPr>
          <w:sz w:val="24"/>
        </w:rPr>
      </w:r>
    </w:p>
    <w:p>
      <w:pPr>
        <w:pStyle w:val="Normal"/>
        <w:jc w:val="both"/>
        <w:rPr/>
      </w:pPr>
      <w:r>
        <w:rPr>
          <w:sz w:val="24"/>
        </w:rPr>
        <w:t>The types of energy efficiency projects at commercial and industrial facilities that would be eligible to participate in the EEC Program include lighting retrofits, whole building upgrades comprising lighting, HVAC and building envelope improvements, replacement of motor and fan systems, boiler upgrades and replacements, continuous commissioning, and other projects that reduce energy consumption.  The basic premise of the C&amp;I EEC Program is to market the energy savings or “EEC Credits” produced by these types of projects, provided they meet the program criteria, as part of a green power commodity offered to customers who prefer environmentally beneficial energy resources and are willing to pay a premium for them.  The EECs achieved by energy efficiency have a number of environmental benefits, including: (1) offsetting a portion of the increasing demand for electricity generation, (2) obviating the need for additional generation capacity to meet growing demand, (3) easing transmission constraints, and (4) preventing</w:t>
      </w:r>
      <w:r>
        <w:rPr/>
        <w:t xml:space="preserve"> </w:t>
      </w:r>
      <w:r>
        <w:rPr>
          <w:sz w:val="24"/>
        </w:rPr>
        <w:t>pollutant emissions from the electricity generation that would have otherwise been necessary.</w:t>
      </w:r>
    </w:p>
    <w:p>
      <w:pPr>
        <w:pStyle w:val="Normal"/>
        <w:jc w:val="both"/>
        <w:rPr>
          <w:sz w:val="24"/>
        </w:rPr>
      </w:pPr>
      <w:r>
        <w:rPr>
          <w:sz w:val="24"/>
        </w:rPr>
      </w:r>
    </w:p>
    <w:p>
      <w:pPr>
        <w:pStyle w:val="Normal"/>
        <w:jc w:val="both"/>
        <w:rPr>
          <w:sz w:val="24"/>
        </w:rPr>
      </w:pPr>
      <w:r>
        <w:rPr>
          <w:sz w:val="24"/>
        </w:rPr>
        <w:t xml:space="preserve">EECs could be harvested from commercial and industrial energy efficiency projects such as those described earlier in this section.  Based on a baseline of one-year’s electricity usage prior to energy efficiency project initiation, savings would be measured on an annual basis.  In order to encourage additional energy efficiency projects to be installed, only the kilowatt-hours saved, over and above an established threshold, would be eligible as EECs to be included in green power products.  </w:t>
      </w:r>
    </w:p>
    <w:p>
      <w:pPr>
        <w:pStyle w:val="NormalWeb"/>
        <w:widowControl/>
        <w:spacing w:before="0" w:after="0"/>
        <w:jc w:val="both"/>
        <w:rPr>
          <w:sz w:val="24"/>
        </w:rPr>
      </w:pPr>
      <w:r>
        <w:rPr>
          <w:sz w:val="24"/>
        </w:rPr>
      </w:r>
    </w:p>
    <w:p>
      <w:pPr>
        <w:pStyle w:val="Normal"/>
        <w:jc w:val="both"/>
        <w:rPr>
          <w:sz w:val="24"/>
        </w:rPr>
      </w:pPr>
      <w:r>
        <w:rPr>
          <w:sz w:val="24"/>
        </w:rPr>
        <w:t xml:space="preserve">The Green Power Board has already generically approved the use of energy efficiency credits, as described in the document, “Green-e Standard All Regions.”  Following the approval from market participants through the Green Power Board, these EECs could enhance renewable energy products as described below. </w:t>
      </w:r>
    </w:p>
    <w:p>
      <w:pPr>
        <w:pStyle w:val="Normal"/>
        <w:rPr>
          <w:sz w:val="24"/>
        </w:rPr>
      </w:pPr>
      <w:r>
        <w:rPr>
          <w:sz w:val="24"/>
        </w:rPr>
      </w:r>
    </w:p>
    <w:p>
      <w:pPr>
        <w:pStyle w:val="Heading1"/>
        <w:widowControl/>
        <w:ind w:hanging="0" w:start="0"/>
        <w:rPr/>
      </w:pPr>
      <w:r>
        <w:rPr/>
        <w:t>The Benefits of an Energy Efficiency Credit Program</w:t>
      </w:r>
    </w:p>
    <w:p>
      <w:pPr>
        <w:pStyle w:val="Normal"/>
        <w:jc w:val="both"/>
        <w:rPr/>
      </w:pPr>
      <w:r>
        <w:rPr>
          <w:sz w:val="24"/>
        </w:rPr>
        <w:t>The two key reasons to include a C&amp;I EEC Program in Green-e certified renewable</w:t>
      </w:r>
      <w:r>
        <w:rPr>
          <w:b/>
          <w:sz w:val="24"/>
        </w:rPr>
        <w:t xml:space="preserve"> </w:t>
      </w:r>
      <w:r>
        <w:rPr>
          <w:sz w:val="24"/>
        </w:rPr>
        <w:t xml:space="preserve">products are: (1) to expand the availability and market potential of green power products, which are currently limited by insufficient renewable generation capacity or availability, and (2) to increase the potential for environmental benefits that result from renewable generation and energy efficiency.  The State of Pennsylvania offers a good proving ground from the perspective of both market potential and environmental benefits. Pennsylvania has a successful emerging green power market that is limited in supply due to limited renewable energy resources.  In addition, the state is trying to meet a number of clean air and other environmental requirements that have their root causes in fossil-fuel combustion sources, including electricity generation power plants.  </w:t>
      </w:r>
    </w:p>
    <w:p>
      <w:pPr>
        <w:pStyle w:val="Heading1"/>
        <w:widowControl/>
        <w:ind w:hanging="0" w:start="0"/>
        <w:jc w:val="both"/>
        <w:rPr>
          <w:sz w:val="24"/>
        </w:rPr>
      </w:pPr>
      <w:r>
        <w:rPr>
          <w:sz w:val="24"/>
        </w:rPr>
      </w:r>
    </w:p>
    <w:p>
      <w:pPr>
        <w:pStyle w:val="Heading1"/>
        <w:widowControl/>
        <w:ind w:hanging="0" w:start="0"/>
        <w:rPr/>
      </w:pPr>
      <w:r>
        <w:rPr/>
        <w:t>Energy Efficiency Credits Help Meet Market Demand</w:t>
      </w:r>
    </w:p>
    <w:p>
      <w:pPr>
        <w:pStyle w:val="Normal"/>
        <w:jc w:val="both"/>
        <w:rPr/>
      </w:pPr>
      <w:r>
        <w:rPr>
          <w:sz w:val="24"/>
        </w:rPr>
        <w:t>The Pennsylvania deregulated electricity market opened up on January 1, 1999, and on many counts has been a success.  Large business, small business and residential customers have signed up for new suppliers.</w:t>
      </w:r>
      <w:r>
        <w:rPr>
          <w:rStyle w:val="FootnoteCharacters"/>
          <w:rStyle w:val="FootnoteReference"/>
          <w:sz w:val="24"/>
        </w:rPr>
        <w:footnoteReference w:id="3"/>
      </w:r>
      <w:r>
        <w:rPr>
          <w:sz w:val="24"/>
        </w:rPr>
        <w:t xml:space="preserve">  In the first month of competition, 475,000 customers switched electricity suppliers.</w:t>
      </w:r>
      <w:r>
        <w:rPr>
          <w:rStyle w:val="FootnoteCharacters"/>
          <w:rStyle w:val="FootnoteReference"/>
          <w:sz w:val="24"/>
        </w:rPr>
        <w:footnoteReference w:id="4"/>
      </w:r>
      <w:r>
        <w:rPr>
          <w:sz w:val="24"/>
        </w:rPr>
        <w:t xml:space="preserve">  By April of 2001, more than 787,000 customers switched supplier, however, the number of customers who switched suppliers dropped to 591,000 by July of this year</w:t>
      </w:r>
      <w:r>
        <w:rPr>
          <w:rStyle w:val="FootnoteCharacters"/>
          <w:rStyle w:val="FootnoteReference"/>
        </w:rPr>
        <w:footnoteReference w:id="5"/>
      </w:r>
      <w:r>
        <w:rPr>
          <w:sz w:val="24"/>
        </w:rPr>
        <w:t>.  While the nearly 600,000 customers who switched still represent a vibrant customer choice market, much of the drop is attributed to less favorable price of some of the new offerings as prior contracts ended, the loss of 30,000 customers under the New Power Competitive Discount Service, and the impact of a provider, Utility.com, leaving the market just prior to the start of the second quarter</w:t>
      </w:r>
      <w:r>
        <w:rPr>
          <w:rStyle w:val="FootnoteCharacters"/>
          <w:rStyle w:val="FootnoteReference"/>
        </w:rPr>
        <w:footnoteReference w:id="6"/>
      </w:r>
      <w:r>
        <w:rPr>
          <w:sz w:val="24"/>
        </w:rPr>
        <w:t xml:space="preserve">. </w:t>
      </w:r>
    </w:p>
    <w:p>
      <w:pPr>
        <w:pStyle w:val="Normal"/>
        <w:jc w:val="both"/>
        <w:rPr>
          <w:sz w:val="24"/>
        </w:rPr>
      </w:pPr>
      <w:r>
        <w:rPr>
          <w:sz w:val="24"/>
        </w:rPr>
      </w:r>
    </w:p>
    <w:p>
      <w:pPr>
        <w:pStyle w:val="Normal"/>
        <w:jc w:val="both"/>
        <w:rPr/>
      </w:pPr>
      <w:r>
        <w:rPr>
          <w:sz w:val="24"/>
        </w:rPr>
        <w:t xml:space="preserve">Getting reliable or accurate data regarding customers who switch to clean or green power is more difficult.  Under the 1996 law signed by the Governor of Pennsylvania, </w:t>
      </w:r>
      <w:r>
        <w:rPr>
          <w:i/>
          <w:sz w:val="24"/>
        </w:rPr>
        <w:t>Electricity Generation Customer Choice and Competition Act</w:t>
      </w:r>
      <w:r>
        <w:rPr>
          <w:sz w:val="24"/>
        </w:rPr>
        <w:t>, specific information related to the actual choices customers made was deemed to be proprietary in nature and therefore data is not gathered.  Nevertheless, green power has been successful in this market: confidential information provided by green power marketers indicates that up to 25% of those customers that chose a new electricity supplier have chosen a green provider such as Community Energy, Inc., Electric America, Energy Cooperative Association of Pennsylvania, Green Mountain Energy and Mack Services Group.</w:t>
      </w:r>
      <w:r>
        <w:rPr>
          <w:rStyle w:val="FootnoteCharacters"/>
          <w:rStyle w:val="FootnoteReference"/>
          <w:sz w:val="24"/>
        </w:rPr>
        <w:footnoteReference w:id="7"/>
      </w:r>
      <w:r>
        <w:rPr>
          <w:sz w:val="24"/>
        </w:rPr>
        <w:t xml:space="preserve">  While estimates from the Public Utility Commission and Penn Futures, Inc are somewhat lower (i.e. in the 15% range), green power choice has been popular with customers in Pennsylvania who have switched electric suppliers</w:t>
      </w:r>
      <w:r>
        <w:rPr>
          <w:rStyle w:val="FootnoteCharacters"/>
          <w:rStyle w:val="FootnoteReference"/>
        </w:rPr>
        <w:footnoteReference w:id="8"/>
      </w:r>
      <w:r>
        <w:rPr>
          <w:sz w:val="24"/>
        </w:rPr>
        <w:t xml:space="preserve">. </w:t>
      </w:r>
    </w:p>
    <w:p>
      <w:pPr>
        <w:pStyle w:val="Normal"/>
        <w:jc w:val="both"/>
        <w:rPr>
          <w:color w:val="FF0000"/>
          <w:sz w:val="24"/>
        </w:rPr>
      </w:pPr>
      <w:r>
        <w:rPr>
          <w:color w:val="FF0000"/>
          <w:sz w:val="24"/>
        </w:rPr>
      </w:r>
    </w:p>
    <w:p>
      <w:pPr>
        <w:pStyle w:val="Normal"/>
        <w:jc w:val="both"/>
        <w:rPr/>
      </w:pPr>
      <w:r>
        <w:rPr>
          <w:sz w:val="24"/>
        </w:rPr>
        <w:t>An indication of the success of the Green-e Program in Pennsylvania is the development of renewable energy projects - wind, solar and landfill gas - to meet market demand.  For example, as shown below in Table 1, two wind projects have already been built and three more are under construction, with 76 MW in total.  According to the American Wind Energy Association,</w:t>
      </w:r>
      <w:r>
        <w:rPr>
          <w:rStyle w:val="FootnoteCharacters"/>
          <w:rStyle w:val="FootnoteReference"/>
          <w:sz w:val="24"/>
        </w:rPr>
        <w:footnoteReference w:id="9"/>
      </w:r>
      <w:r>
        <w:rPr>
          <w:sz w:val="24"/>
        </w:rPr>
        <w:t xml:space="preserve"> several more have been proposed.  Two solar projects have also been developed to serve this market: the 43 kW plant built at BJ’s Wholesale Club in Conshohocken, and the 43 kW plant at an Ikea store in Pittsburgh.</w:t>
      </w:r>
    </w:p>
    <w:p>
      <w:pPr>
        <w:pStyle w:val="Normal"/>
        <w:rPr>
          <w:sz w:val="24"/>
        </w:rPr>
      </w:pPr>
      <w:r>
        <w:rPr>
          <w:sz w:val="24"/>
        </w:rPr>
      </w:r>
    </w:p>
    <w:p>
      <w:pPr>
        <w:pStyle w:val="Heading3"/>
        <w:widowControl/>
        <w:ind w:hanging="0" w:start="0"/>
        <w:rPr/>
      </w:pPr>
      <w:r>
        <w:rPr/>
        <w:t>Table 1: Wind Development in the State of Pennsylvania</w:t>
      </w:r>
    </w:p>
    <w:p>
      <w:pPr>
        <w:pStyle w:val="Normal"/>
        <w:rPr/>
      </w:pPr>
      <w:r>
        <w:rPr/>
      </w:r>
    </w:p>
    <w:tbl>
      <w:tblPr>
        <w:tblW w:w="7049" w:type="dxa"/>
        <w:jc w:val="start"/>
        <w:tblInd w:w="60" w:type="dxa"/>
        <w:tblLayout w:type="fixed"/>
        <w:tblCellMar>
          <w:top w:w="0" w:type="dxa"/>
          <w:start w:w="60" w:type="dxa"/>
          <w:bottom w:w="0" w:type="dxa"/>
          <w:end w:w="60" w:type="dxa"/>
        </w:tblCellMar>
      </w:tblPr>
      <w:tblGrid>
        <w:gridCol w:w="1560"/>
        <w:gridCol w:w="1170"/>
        <w:gridCol w:w="944"/>
        <w:gridCol w:w="960"/>
        <w:gridCol w:w="1245"/>
        <w:gridCol w:w="1170"/>
      </w:tblGrid>
      <w:tr>
        <w:trPr/>
        <w:tc>
          <w:tcPr>
            <w:tcW w:w="7049" w:type="dxa"/>
            <w:gridSpan w:val="6"/>
            <w:tcBorders/>
            <w:vAlign w:val="center"/>
          </w:tcPr>
          <w:p>
            <w:pPr>
              <w:pStyle w:val="Normal"/>
              <w:rPr/>
            </w:pPr>
            <w:r>
              <w:rPr>
                <w:rStyle w:val="Emphasis"/>
                <w:b/>
                <w:sz w:val="32"/>
              </w:rPr>
              <w:t>Pennsylvania</w:t>
            </w:r>
            <w:r>
              <w:rPr>
                <w:rStyle w:val="Strong"/>
                <w:sz w:val="18"/>
              </w:rPr>
              <w:t xml:space="preserve"> </w:t>
              <w:br/>
            </w:r>
            <w:r>
              <w:rPr>
                <w:rStyle w:val="Strong"/>
                <w:sz w:val="24"/>
              </w:rPr>
              <w:t>Wind Energy Development</w:t>
            </w:r>
            <w:r>
              <w:rPr>
                <w:rStyle w:val="Strong"/>
                <w:sz w:val="18"/>
              </w:rPr>
              <w:t xml:space="preserve"> </w:t>
            </w:r>
          </w:p>
          <w:p>
            <w:pPr>
              <w:pStyle w:val="Normal"/>
              <w:rPr>
                <w:rStyle w:val="Strong"/>
                <w:sz w:val="18"/>
              </w:rPr>
            </w:pPr>
            <w:r>
              <w:rPr/>
            </w:r>
          </w:p>
        </w:tc>
        <w:tc>
          <w:tcPr>
            <w:tcW w:w="0" w:type="dxa"/>
            <w:vMerge w:val="continue"/>
            <w:tcBorders/>
            <w:vAlign w:val="center"/>
          </w:tcPr>
          <w:p>
            <w:pPr>
              <w:pStyle w:val="Normal"/>
              <w:snapToGrid w:val="false"/>
              <w:rPr>
                <w:sz w:val="18"/>
              </w:rPr>
            </w:pPr>
            <w:r>
              <w:rPr>
                <w:sz w:val="18"/>
              </w:rPr>
            </w:r>
          </w:p>
        </w:tc>
        <w:tc>
          <w:tcPr>
            <w:tcW w:w="0" w:type="dxa"/>
            <w:vMerge w:val="continue"/>
            <w:tcBorders/>
            <w:vAlign w:val="center"/>
          </w:tcPr>
          <w:p>
            <w:pPr>
              <w:pStyle w:val="Normal"/>
              <w:snapToGrid w:val="false"/>
              <w:rPr>
                <w:sz w:val="18"/>
              </w:rPr>
            </w:pPr>
            <w:r>
              <w:rPr>
                <w:sz w:val="18"/>
              </w:rPr>
            </w:r>
          </w:p>
        </w:tc>
        <w:tc>
          <w:tcPr>
            <w:tcW w:w="0" w:type="dxa"/>
            <w:vMerge w:val="continue"/>
            <w:tcBorders/>
            <w:vAlign w:val="center"/>
          </w:tcPr>
          <w:p>
            <w:pPr>
              <w:pStyle w:val="Normal"/>
              <w:snapToGrid w:val="false"/>
              <w:rPr>
                <w:sz w:val="18"/>
              </w:rPr>
            </w:pPr>
            <w:r>
              <w:rPr>
                <w:sz w:val="18"/>
              </w:rPr>
            </w:r>
          </w:p>
        </w:tc>
        <w:tc>
          <w:tcPr>
            <w:tcW w:w="0" w:type="dxa"/>
            <w:vMerge w:val="continue"/>
            <w:tcBorders/>
            <w:vAlign w:val="center"/>
          </w:tcPr>
          <w:p>
            <w:pPr>
              <w:pStyle w:val="Normal"/>
              <w:snapToGrid w:val="false"/>
              <w:rPr>
                <w:sz w:val="18"/>
              </w:rPr>
            </w:pPr>
            <w:r>
              <w:rPr>
                <w:sz w:val="18"/>
              </w:rPr>
            </w:r>
          </w:p>
        </w:tc>
        <w:tc>
          <w:tcPr>
            <w:tcW w:w="0" w:type="dxa"/>
            <w:vMerge w:val="continue"/>
            <w:tcBorders/>
            <w:vAlign w:val="center"/>
          </w:tcPr>
          <w:p>
            <w:pPr>
              <w:pStyle w:val="Normal"/>
              <w:snapToGrid w:val="false"/>
              <w:rPr>
                <w:sz w:val="18"/>
              </w:rPr>
            </w:pPr>
            <w:r>
              <w:rPr>
                <w:sz w:val="18"/>
              </w:rPr>
            </w:r>
          </w:p>
        </w:tc>
      </w:tr>
      <w:tr>
        <w:trPr/>
        <w:tc>
          <w:tcPr>
            <w:tcW w:w="1560" w:type="dxa"/>
            <w:tcBorders/>
            <w:shd w:fill="00FFFF" w:val="clear"/>
          </w:tcPr>
          <w:p>
            <w:pPr>
              <w:pStyle w:val="Normal"/>
              <w:rPr>
                <w:sz w:val="18"/>
              </w:rPr>
            </w:pPr>
            <w:r>
              <w:rPr>
                <w:rStyle w:val="Strong"/>
                <w:sz w:val="18"/>
              </w:rPr>
              <w:t xml:space="preserve">Existing Project </w:t>
              <w:br/>
              <w:t>or Area</w:t>
            </w:r>
          </w:p>
        </w:tc>
        <w:tc>
          <w:tcPr>
            <w:tcW w:w="1170" w:type="dxa"/>
            <w:tcBorders/>
            <w:shd w:fill="00FFFF" w:val="clear"/>
          </w:tcPr>
          <w:p>
            <w:pPr>
              <w:pStyle w:val="Normal"/>
              <w:rPr>
                <w:sz w:val="18"/>
              </w:rPr>
            </w:pPr>
            <w:r>
              <w:rPr>
                <w:rStyle w:val="Strong"/>
                <w:sz w:val="18"/>
              </w:rPr>
              <w:t>Operator</w:t>
            </w:r>
          </w:p>
        </w:tc>
        <w:tc>
          <w:tcPr>
            <w:tcW w:w="944" w:type="dxa"/>
            <w:tcBorders/>
            <w:shd w:fill="00FFFF" w:val="clear"/>
          </w:tcPr>
          <w:p>
            <w:pPr>
              <w:pStyle w:val="Normal"/>
              <w:rPr>
                <w:sz w:val="18"/>
              </w:rPr>
            </w:pPr>
            <w:r>
              <w:rPr>
                <w:rStyle w:val="Strong"/>
                <w:sz w:val="18"/>
              </w:rPr>
              <w:t>Date Online</w:t>
            </w:r>
          </w:p>
        </w:tc>
        <w:tc>
          <w:tcPr>
            <w:tcW w:w="960" w:type="dxa"/>
            <w:tcBorders/>
            <w:shd w:fill="00FFFF" w:val="clear"/>
          </w:tcPr>
          <w:p>
            <w:pPr>
              <w:pStyle w:val="Normal"/>
              <w:rPr>
                <w:sz w:val="18"/>
              </w:rPr>
            </w:pPr>
            <w:r>
              <w:rPr>
                <w:rStyle w:val="Strong"/>
                <w:sz w:val="18"/>
              </w:rPr>
              <w:t>MW</w:t>
            </w:r>
          </w:p>
        </w:tc>
        <w:tc>
          <w:tcPr>
            <w:tcW w:w="1245" w:type="dxa"/>
            <w:tcBorders/>
            <w:shd w:fill="00FFFF" w:val="clear"/>
          </w:tcPr>
          <w:p>
            <w:pPr>
              <w:pStyle w:val="Normal"/>
              <w:rPr>
                <w:sz w:val="18"/>
              </w:rPr>
            </w:pPr>
            <w:r>
              <w:rPr>
                <w:rStyle w:val="Strong"/>
                <w:sz w:val="18"/>
              </w:rPr>
              <w:t>Power Purchaser/</w:t>
              <w:br/>
              <w:t>User</w:t>
            </w:r>
          </w:p>
        </w:tc>
        <w:tc>
          <w:tcPr>
            <w:tcW w:w="1170" w:type="dxa"/>
            <w:tcBorders/>
            <w:shd w:fill="00FFFF" w:val="clear"/>
          </w:tcPr>
          <w:p>
            <w:pPr>
              <w:pStyle w:val="Normal"/>
              <w:rPr>
                <w:sz w:val="18"/>
              </w:rPr>
            </w:pPr>
            <w:r>
              <w:rPr>
                <w:rStyle w:val="Strong"/>
                <w:sz w:val="18"/>
              </w:rPr>
              <w:t>Turbine/</w:t>
              <w:br/>
              <w:t>Units</w:t>
            </w:r>
          </w:p>
        </w:tc>
      </w:tr>
      <w:tr>
        <w:trPr/>
        <w:tc>
          <w:tcPr>
            <w:tcW w:w="1560" w:type="dxa"/>
            <w:tcBorders/>
          </w:tcPr>
          <w:p>
            <w:pPr>
              <w:pStyle w:val="Normal"/>
              <w:rPr>
                <w:sz w:val="18"/>
              </w:rPr>
            </w:pPr>
            <w:r>
              <w:rPr>
                <w:sz w:val="18"/>
              </w:rPr>
              <w:t xml:space="preserve">Humboldt Industrial Park </w:t>
              <w:br/>
            </w:r>
            <w:hyperlink r:id="rId6">
              <w:r>
                <w:rPr>
                  <w:rStyle w:val="Hyperlink"/>
                  <w:color w:val="auto"/>
                  <w:u w:val="none"/>
                </w:rPr>
                <w:t>Hazleton</w:t>
              </w:r>
            </w:hyperlink>
          </w:p>
        </w:tc>
        <w:tc>
          <w:tcPr>
            <w:tcW w:w="1170" w:type="dxa"/>
            <w:tcBorders/>
          </w:tcPr>
          <w:p>
            <w:pPr>
              <w:pStyle w:val="Normal"/>
              <w:rPr>
                <w:sz w:val="18"/>
              </w:rPr>
            </w:pPr>
            <w:r>
              <w:rPr>
                <w:sz w:val="18"/>
              </w:rPr>
              <w:t>Energy Unlimited</w:t>
            </w:r>
          </w:p>
        </w:tc>
        <w:tc>
          <w:tcPr>
            <w:tcW w:w="944" w:type="dxa"/>
            <w:tcBorders/>
          </w:tcPr>
          <w:p>
            <w:pPr>
              <w:pStyle w:val="Normal"/>
              <w:rPr>
                <w:sz w:val="18"/>
              </w:rPr>
            </w:pPr>
            <w:r>
              <w:rPr>
                <w:sz w:val="18"/>
              </w:rPr>
              <w:t>Dec 1999</w:t>
            </w:r>
          </w:p>
        </w:tc>
        <w:tc>
          <w:tcPr>
            <w:tcW w:w="960" w:type="dxa"/>
            <w:tcBorders/>
          </w:tcPr>
          <w:p>
            <w:pPr>
              <w:pStyle w:val="Normal"/>
              <w:rPr>
                <w:sz w:val="18"/>
              </w:rPr>
            </w:pPr>
            <w:r>
              <w:rPr>
                <w:sz w:val="18"/>
              </w:rPr>
              <w:t>0.13</w:t>
            </w:r>
          </w:p>
        </w:tc>
        <w:tc>
          <w:tcPr>
            <w:tcW w:w="1245" w:type="dxa"/>
            <w:tcBorders/>
          </w:tcPr>
          <w:p>
            <w:pPr>
              <w:pStyle w:val="Normal"/>
              <w:snapToGrid w:val="false"/>
              <w:rPr>
                <w:sz w:val="18"/>
              </w:rPr>
            </w:pPr>
            <w:r>
              <w:rPr>
                <w:sz w:val="18"/>
              </w:rPr>
            </w:r>
          </w:p>
        </w:tc>
        <w:tc>
          <w:tcPr>
            <w:tcW w:w="1170" w:type="dxa"/>
            <w:tcBorders/>
          </w:tcPr>
          <w:p>
            <w:pPr>
              <w:pStyle w:val="Normal"/>
              <w:rPr>
                <w:sz w:val="18"/>
              </w:rPr>
            </w:pPr>
            <w:r>
              <w:rPr>
                <w:sz w:val="18"/>
              </w:rPr>
              <w:t>Energy Unlimited</w:t>
              <w:br/>
              <w:t>(2)</w:t>
            </w:r>
          </w:p>
        </w:tc>
      </w:tr>
      <w:tr>
        <w:trPr/>
        <w:tc>
          <w:tcPr>
            <w:tcW w:w="1560" w:type="dxa"/>
            <w:tcBorders/>
          </w:tcPr>
          <w:p>
            <w:pPr>
              <w:pStyle w:val="Normal"/>
              <w:snapToGrid w:val="false"/>
              <w:rPr>
                <w:sz w:val="18"/>
              </w:rPr>
            </w:pPr>
            <w:r>
              <w:rPr>
                <w:sz w:val="18"/>
              </w:rPr>
            </w:r>
          </w:p>
          <w:p>
            <w:pPr>
              <w:pStyle w:val="Normal"/>
              <w:rPr>
                <w:sz w:val="18"/>
              </w:rPr>
            </w:pPr>
            <w:r>
              <w:rPr>
                <w:sz w:val="18"/>
              </w:rPr>
              <w:t xml:space="preserve">Garrett </w:t>
              <w:br/>
              <w:t>(Somerset County)</w:t>
            </w:r>
          </w:p>
        </w:tc>
        <w:tc>
          <w:tcPr>
            <w:tcW w:w="1170" w:type="dxa"/>
            <w:tcBorders/>
          </w:tcPr>
          <w:p>
            <w:pPr>
              <w:pStyle w:val="Normal"/>
              <w:snapToGrid w:val="false"/>
              <w:rPr>
                <w:sz w:val="18"/>
              </w:rPr>
            </w:pPr>
            <w:r>
              <w:rPr>
                <w:sz w:val="18"/>
              </w:rPr>
            </w:r>
          </w:p>
          <w:p>
            <w:pPr>
              <w:pStyle w:val="Normal"/>
              <w:rPr>
                <w:sz w:val="18"/>
              </w:rPr>
            </w:pPr>
            <w:r>
              <w:rPr>
                <w:sz w:val="18"/>
              </w:rPr>
              <w:t>National Wind Power</w:t>
            </w:r>
          </w:p>
        </w:tc>
        <w:tc>
          <w:tcPr>
            <w:tcW w:w="944" w:type="dxa"/>
            <w:tcBorders/>
          </w:tcPr>
          <w:p>
            <w:pPr>
              <w:pStyle w:val="Normal"/>
              <w:snapToGrid w:val="false"/>
              <w:rPr>
                <w:sz w:val="18"/>
              </w:rPr>
            </w:pPr>
            <w:r>
              <w:rPr>
                <w:sz w:val="18"/>
              </w:rPr>
            </w:r>
          </w:p>
          <w:p>
            <w:pPr>
              <w:pStyle w:val="Normal"/>
              <w:rPr>
                <w:sz w:val="18"/>
              </w:rPr>
            </w:pPr>
            <w:r>
              <w:rPr>
                <w:sz w:val="18"/>
              </w:rPr>
              <w:t>May 2000</w:t>
            </w:r>
          </w:p>
        </w:tc>
        <w:tc>
          <w:tcPr>
            <w:tcW w:w="960" w:type="dxa"/>
            <w:tcBorders/>
          </w:tcPr>
          <w:p>
            <w:pPr>
              <w:pStyle w:val="Normal"/>
              <w:snapToGrid w:val="false"/>
              <w:rPr>
                <w:sz w:val="18"/>
              </w:rPr>
            </w:pPr>
            <w:r>
              <w:rPr>
                <w:sz w:val="18"/>
              </w:rPr>
            </w:r>
          </w:p>
          <w:p>
            <w:pPr>
              <w:pStyle w:val="Normal"/>
              <w:rPr>
                <w:sz w:val="18"/>
              </w:rPr>
            </w:pPr>
            <w:r>
              <w:rPr>
                <w:sz w:val="18"/>
              </w:rPr>
              <w:t>10.4</w:t>
            </w:r>
          </w:p>
        </w:tc>
        <w:tc>
          <w:tcPr>
            <w:tcW w:w="1245" w:type="dxa"/>
            <w:tcBorders/>
          </w:tcPr>
          <w:p>
            <w:pPr>
              <w:pStyle w:val="Normal"/>
              <w:snapToGrid w:val="false"/>
              <w:rPr>
                <w:sz w:val="18"/>
              </w:rPr>
            </w:pPr>
            <w:r>
              <w:rPr>
                <w:sz w:val="18"/>
              </w:rPr>
            </w:r>
          </w:p>
          <w:p>
            <w:pPr>
              <w:pStyle w:val="Normal"/>
              <w:rPr>
                <w:sz w:val="18"/>
              </w:rPr>
            </w:pPr>
            <w:r>
              <w:rPr>
                <w:sz w:val="18"/>
              </w:rPr>
              <w:t>Green Mountain Energy</w:t>
            </w:r>
          </w:p>
        </w:tc>
        <w:tc>
          <w:tcPr>
            <w:tcW w:w="1170" w:type="dxa"/>
            <w:tcBorders/>
          </w:tcPr>
          <w:p>
            <w:pPr>
              <w:pStyle w:val="Normal"/>
              <w:snapToGrid w:val="false"/>
              <w:rPr>
                <w:sz w:val="18"/>
              </w:rPr>
            </w:pPr>
            <w:r>
              <w:rPr>
                <w:sz w:val="18"/>
              </w:rPr>
            </w:r>
          </w:p>
          <w:p>
            <w:pPr>
              <w:pStyle w:val="Normal"/>
              <w:rPr>
                <w:sz w:val="18"/>
              </w:rPr>
            </w:pPr>
            <w:r>
              <w:rPr>
                <w:sz w:val="18"/>
              </w:rPr>
              <w:t>Nordex</w:t>
              <w:br/>
              <w:t>(8)</w:t>
            </w:r>
          </w:p>
        </w:tc>
      </w:tr>
    </w:tbl>
    <w:p>
      <w:pPr>
        <w:pStyle w:val="Caption"/>
        <w:rPr>
          <w:rStyle w:val="Strong"/>
          <w:sz w:val="24"/>
        </w:rPr>
      </w:pPr>
      <w:r>
        <w:rPr/>
      </w:r>
    </w:p>
    <w:p>
      <w:pPr>
        <w:pStyle w:val="Caption"/>
        <w:rPr>
          <w:rStyle w:val="Strong"/>
          <w:sz w:val="24"/>
        </w:rPr>
      </w:pPr>
      <w:r>
        <w:rPr/>
      </w:r>
    </w:p>
    <w:p>
      <w:pPr>
        <w:pStyle w:val="Caption"/>
        <w:rPr>
          <w:rStyle w:val="Strong"/>
          <w:sz w:val="24"/>
        </w:rPr>
      </w:pPr>
      <w:r>
        <w:rPr/>
      </w:r>
    </w:p>
    <w:p>
      <w:pPr>
        <w:pStyle w:val="Caption"/>
        <w:rPr/>
      </w:pPr>
      <w:r>
        <w:rPr>
          <w:rStyle w:val="Strong"/>
          <w:sz w:val="24"/>
        </w:rPr>
        <w:t>New Wind Projects in Pennsylvania</w:t>
      </w:r>
    </w:p>
    <w:p>
      <w:pPr>
        <w:pStyle w:val="Normal"/>
        <w:rPr>
          <w:rStyle w:val="Strong"/>
          <w:sz w:val="24"/>
        </w:rPr>
      </w:pPr>
      <w:r>
        <w:rPr/>
      </w:r>
    </w:p>
    <w:tbl>
      <w:tblPr>
        <w:tblW w:w="8727" w:type="dxa"/>
        <w:jc w:val="center"/>
        <w:tblInd w:w="0" w:type="dxa"/>
        <w:tblLayout w:type="fixed"/>
        <w:tblCellMar>
          <w:top w:w="0" w:type="dxa"/>
          <w:start w:w="60" w:type="dxa"/>
          <w:bottom w:w="0" w:type="dxa"/>
          <w:end w:w="60" w:type="dxa"/>
        </w:tblCellMar>
      </w:tblPr>
      <w:tblGrid>
        <w:gridCol w:w="2024"/>
        <w:gridCol w:w="1492"/>
        <w:gridCol w:w="1118"/>
        <w:gridCol w:w="1263"/>
        <w:gridCol w:w="2830"/>
      </w:tblGrid>
      <w:tr>
        <w:trPr/>
        <w:tc>
          <w:tcPr>
            <w:tcW w:w="2024" w:type="dxa"/>
            <w:tcBorders/>
            <w:shd w:fill="00FFFF" w:val="clear"/>
          </w:tcPr>
          <w:p>
            <w:pPr>
              <w:pStyle w:val="Normal"/>
              <w:rPr/>
            </w:pPr>
            <w:r>
              <w:rPr>
                <w:rStyle w:val="Strong"/>
                <w:sz w:val="18"/>
              </w:rPr>
              <w:t>Utility/Developer</w:t>
              <w:br/>
              <w:t>(Project)</w:t>
            </w:r>
          </w:p>
          <w:p>
            <w:pPr>
              <w:pStyle w:val="Normal"/>
              <w:rPr>
                <w:rStyle w:val="Strong"/>
                <w:sz w:val="18"/>
              </w:rPr>
            </w:pPr>
            <w:r>
              <w:rPr/>
            </w:r>
          </w:p>
        </w:tc>
        <w:tc>
          <w:tcPr>
            <w:tcW w:w="1492" w:type="dxa"/>
            <w:tcBorders/>
            <w:shd w:fill="00FFFF" w:val="clear"/>
          </w:tcPr>
          <w:p>
            <w:pPr>
              <w:pStyle w:val="Normal"/>
              <w:rPr/>
            </w:pPr>
            <w:r>
              <w:rPr>
                <w:rStyle w:val="Strong"/>
                <w:sz w:val="18"/>
              </w:rPr>
              <w:t>Location</w:t>
            </w:r>
          </w:p>
        </w:tc>
        <w:tc>
          <w:tcPr>
            <w:tcW w:w="1118" w:type="dxa"/>
            <w:tcBorders/>
            <w:shd w:fill="00FFFF" w:val="clear"/>
          </w:tcPr>
          <w:p>
            <w:pPr>
              <w:pStyle w:val="Heading1"/>
              <w:ind w:hanging="0" w:start="0"/>
              <w:rPr/>
            </w:pPr>
            <w:r>
              <w:rPr>
                <w:rStyle w:val="Strong"/>
                <w:b/>
                <w:sz w:val="18"/>
              </w:rPr>
              <w:t>Status</w:t>
            </w:r>
          </w:p>
        </w:tc>
        <w:tc>
          <w:tcPr>
            <w:tcW w:w="1263" w:type="dxa"/>
            <w:tcBorders/>
            <w:shd w:fill="00FFFF" w:val="clear"/>
          </w:tcPr>
          <w:p>
            <w:pPr>
              <w:pStyle w:val="Normal"/>
              <w:rPr/>
            </w:pPr>
            <w:r>
              <w:rPr>
                <w:rStyle w:val="Strong"/>
                <w:sz w:val="18"/>
              </w:rPr>
              <w:t>MW Capacity</w:t>
            </w:r>
          </w:p>
        </w:tc>
        <w:tc>
          <w:tcPr>
            <w:tcW w:w="2830" w:type="dxa"/>
            <w:tcBorders/>
            <w:shd w:fill="00FFFF" w:val="clear"/>
          </w:tcPr>
          <w:p>
            <w:pPr>
              <w:pStyle w:val="Normal"/>
              <w:rPr/>
            </w:pPr>
            <w:r>
              <w:rPr>
                <w:rStyle w:val="Strong"/>
                <w:sz w:val="18"/>
              </w:rPr>
              <w:t>On Line By/ Turbines</w:t>
            </w:r>
          </w:p>
        </w:tc>
      </w:tr>
      <w:tr>
        <w:trPr/>
        <w:tc>
          <w:tcPr>
            <w:tcW w:w="2024" w:type="dxa"/>
            <w:tcBorders/>
          </w:tcPr>
          <w:p>
            <w:pPr>
              <w:pStyle w:val="Normal"/>
              <w:rPr/>
            </w:pPr>
            <w:r>
              <w:rPr>
                <w:rStyle w:val="Strong"/>
                <w:b w:val="false"/>
                <w:sz w:val="18"/>
              </w:rPr>
              <w:t>Exelon Power Team &amp; Community Energy Inc. / Atlantic Renewable &amp; Zilkha Renewable Energy</w:t>
              <w:br/>
              <w:t>(Mill Run Windpower)</w:t>
            </w:r>
          </w:p>
        </w:tc>
        <w:tc>
          <w:tcPr>
            <w:tcW w:w="1492" w:type="dxa"/>
            <w:tcBorders/>
          </w:tcPr>
          <w:p>
            <w:pPr>
              <w:pStyle w:val="Normal"/>
              <w:rPr/>
            </w:pPr>
            <w:r>
              <w:rPr>
                <w:rStyle w:val="Strong"/>
                <w:b w:val="false"/>
                <w:sz w:val="18"/>
              </w:rPr>
              <w:t>Fayette County</w:t>
            </w:r>
          </w:p>
        </w:tc>
        <w:tc>
          <w:tcPr>
            <w:tcW w:w="1118" w:type="dxa"/>
            <w:tcBorders/>
          </w:tcPr>
          <w:p>
            <w:pPr>
              <w:pStyle w:val="Normal"/>
              <w:rPr/>
            </w:pPr>
            <w:r>
              <w:rPr>
                <w:rStyle w:val="Strong"/>
                <w:b w:val="false"/>
                <w:sz w:val="18"/>
              </w:rPr>
              <w:t>Construction</w:t>
              <w:br/>
              <w:t>Aug 2000</w:t>
            </w:r>
          </w:p>
        </w:tc>
        <w:tc>
          <w:tcPr>
            <w:tcW w:w="1263" w:type="dxa"/>
            <w:tcBorders/>
          </w:tcPr>
          <w:p>
            <w:pPr>
              <w:pStyle w:val="Normal"/>
              <w:rPr/>
            </w:pPr>
            <w:r>
              <w:rPr>
                <w:rStyle w:val="Strong"/>
                <w:b w:val="false"/>
                <w:sz w:val="18"/>
              </w:rPr>
              <w:t>15.0</w:t>
            </w:r>
          </w:p>
        </w:tc>
        <w:tc>
          <w:tcPr>
            <w:tcW w:w="2830" w:type="dxa"/>
            <w:tcBorders/>
          </w:tcPr>
          <w:p>
            <w:pPr>
              <w:pStyle w:val="Normal"/>
              <w:rPr/>
            </w:pPr>
            <w:r>
              <w:rPr>
                <w:rStyle w:val="Strong"/>
                <w:b w:val="false"/>
                <w:sz w:val="18"/>
              </w:rPr>
              <w:t>Fall 2001</w:t>
              <w:br/>
              <w:t>Enron</w:t>
            </w:r>
          </w:p>
        </w:tc>
      </w:tr>
      <w:tr>
        <w:trPr/>
        <w:tc>
          <w:tcPr>
            <w:tcW w:w="2024" w:type="dxa"/>
            <w:tcBorders/>
          </w:tcPr>
          <w:p>
            <w:pPr>
              <w:pStyle w:val="Normal"/>
              <w:snapToGrid w:val="false"/>
              <w:rPr>
                <w:rStyle w:val="Strong"/>
                <w:b w:val="false"/>
                <w:sz w:val="18"/>
              </w:rPr>
            </w:pPr>
            <w:r>
              <w:rPr/>
            </w:r>
          </w:p>
          <w:p>
            <w:pPr>
              <w:pStyle w:val="Normal"/>
              <w:rPr/>
            </w:pPr>
            <w:r>
              <w:rPr>
                <w:rStyle w:val="Strong"/>
                <w:b w:val="false"/>
                <w:sz w:val="18"/>
              </w:rPr>
              <w:t xml:space="preserve">Humboldt Industrial Park </w:t>
            </w:r>
          </w:p>
        </w:tc>
        <w:tc>
          <w:tcPr>
            <w:tcW w:w="1492" w:type="dxa"/>
            <w:tcBorders/>
          </w:tcPr>
          <w:p>
            <w:pPr>
              <w:pStyle w:val="Normal"/>
              <w:snapToGrid w:val="false"/>
              <w:rPr>
                <w:rStyle w:val="Strong"/>
                <w:b w:val="false"/>
                <w:sz w:val="18"/>
              </w:rPr>
            </w:pPr>
            <w:r>
              <w:rPr/>
            </w:r>
          </w:p>
          <w:p>
            <w:pPr>
              <w:pStyle w:val="Normal"/>
              <w:rPr/>
            </w:pPr>
            <w:r>
              <w:rPr>
                <w:rStyle w:val="Strong"/>
                <w:b w:val="false"/>
                <w:sz w:val="18"/>
              </w:rPr>
              <w:t>Hazleton</w:t>
            </w:r>
          </w:p>
        </w:tc>
        <w:tc>
          <w:tcPr>
            <w:tcW w:w="1118" w:type="dxa"/>
            <w:tcBorders/>
          </w:tcPr>
          <w:p>
            <w:pPr>
              <w:pStyle w:val="Normal"/>
              <w:snapToGrid w:val="false"/>
              <w:rPr>
                <w:rStyle w:val="Strong"/>
                <w:b w:val="false"/>
                <w:sz w:val="18"/>
              </w:rPr>
            </w:pPr>
            <w:r>
              <w:rPr/>
            </w:r>
          </w:p>
          <w:p>
            <w:pPr>
              <w:pStyle w:val="Normal"/>
              <w:rPr/>
            </w:pPr>
            <w:r>
              <w:rPr>
                <w:rStyle w:val="Strong"/>
                <w:b w:val="false"/>
                <w:sz w:val="18"/>
              </w:rPr>
              <w:t>Planned</w:t>
            </w:r>
          </w:p>
        </w:tc>
        <w:tc>
          <w:tcPr>
            <w:tcW w:w="1263" w:type="dxa"/>
            <w:tcBorders/>
          </w:tcPr>
          <w:p>
            <w:pPr>
              <w:pStyle w:val="Normal"/>
              <w:snapToGrid w:val="false"/>
              <w:rPr>
                <w:rStyle w:val="Strong"/>
                <w:b w:val="false"/>
                <w:sz w:val="18"/>
              </w:rPr>
            </w:pPr>
            <w:r>
              <w:rPr/>
            </w:r>
          </w:p>
          <w:p>
            <w:pPr>
              <w:pStyle w:val="Normal"/>
              <w:rPr/>
            </w:pPr>
            <w:r>
              <w:rPr>
                <w:rStyle w:val="Strong"/>
                <w:b w:val="false"/>
                <w:sz w:val="18"/>
              </w:rPr>
              <w:t>0.13</w:t>
            </w:r>
          </w:p>
        </w:tc>
        <w:tc>
          <w:tcPr>
            <w:tcW w:w="2830" w:type="dxa"/>
            <w:tcBorders/>
          </w:tcPr>
          <w:p>
            <w:pPr>
              <w:pStyle w:val="Normal"/>
              <w:snapToGrid w:val="false"/>
              <w:rPr>
                <w:rStyle w:val="Strong"/>
                <w:b w:val="false"/>
                <w:sz w:val="18"/>
              </w:rPr>
            </w:pPr>
            <w:r>
              <w:rPr/>
            </w:r>
          </w:p>
          <w:p>
            <w:pPr>
              <w:pStyle w:val="Normal"/>
              <w:rPr/>
            </w:pPr>
            <w:r>
              <w:rPr>
                <w:rStyle w:val="Strong"/>
                <w:b w:val="false"/>
                <w:sz w:val="18"/>
              </w:rPr>
              <w:t>Nov 2001</w:t>
              <w:br/>
              <w:t>Energy Unlimited</w:t>
            </w:r>
          </w:p>
        </w:tc>
      </w:tr>
      <w:tr>
        <w:trPr/>
        <w:tc>
          <w:tcPr>
            <w:tcW w:w="2024" w:type="dxa"/>
            <w:tcBorders/>
          </w:tcPr>
          <w:p>
            <w:pPr>
              <w:pStyle w:val="Normal"/>
              <w:snapToGrid w:val="false"/>
              <w:rPr>
                <w:rStyle w:val="Strong"/>
                <w:b w:val="false"/>
                <w:sz w:val="18"/>
              </w:rPr>
            </w:pPr>
            <w:r>
              <w:rPr/>
            </w:r>
          </w:p>
          <w:p>
            <w:pPr>
              <w:pStyle w:val="Normal"/>
              <w:rPr/>
            </w:pPr>
            <w:r>
              <w:rPr>
                <w:rStyle w:val="Strong"/>
                <w:b w:val="false"/>
                <w:sz w:val="18"/>
              </w:rPr>
              <w:t>Exelon Power Team &amp; Community Energy Inc. / Atlantic Renewable &amp; Zilkha Renewable (Somerset)</w:t>
            </w:r>
          </w:p>
        </w:tc>
        <w:tc>
          <w:tcPr>
            <w:tcW w:w="1492" w:type="dxa"/>
            <w:tcBorders/>
          </w:tcPr>
          <w:p>
            <w:pPr>
              <w:pStyle w:val="Normal"/>
              <w:snapToGrid w:val="false"/>
              <w:rPr>
                <w:rStyle w:val="Strong"/>
                <w:b w:val="false"/>
                <w:sz w:val="18"/>
              </w:rPr>
            </w:pPr>
            <w:r>
              <w:rPr/>
            </w:r>
          </w:p>
          <w:p>
            <w:pPr>
              <w:pStyle w:val="Normal"/>
              <w:rPr/>
            </w:pPr>
            <w:r>
              <w:rPr>
                <w:rStyle w:val="Strong"/>
                <w:b w:val="false"/>
                <w:sz w:val="18"/>
              </w:rPr>
              <w:t>Somerset</w:t>
            </w:r>
          </w:p>
        </w:tc>
        <w:tc>
          <w:tcPr>
            <w:tcW w:w="1118" w:type="dxa"/>
            <w:tcBorders/>
          </w:tcPr>
          <w:p>
            <w:pPr>
              <w:pStyle w:val="Normal"/>
              <w:snapToGrid w:val="false"/>
              <w:rPr>
                <w:rStyle w:val="Strong"/>
                <w:b w:val="false"/>
                <w:sz w:val="18"/>
              </w:rPr>
            </w:pPr>
            <w:r>
              <w:rPr/>
            </w:r>
          </w:p>
          <w:p>
            <w:pPr>
              <w:pStyle w:val="Normal"/>
              <w:rPr/>
            </w:pPr>
            <w:r>
              <w:rPr>
                <w:rStyle w:val="Strong"/>
                <w:b w:val="false"/>
                <w:sz w:val="18"/>
              </w:rPr>
              <w:t>Planned</w:t>
            </w:r>
          </w:p>
        </w:tc>
        <w:tc>
          <w:tcPr>
            <w:tcW w:w="1263" w:type="dxa"/>
            <w:tcBorders/>
          </w:tcPr>
          <w:p>
            <w:pPr>
              <w:pStyle w:val="Normal"/>
              <w:snapToGrid w:val="false"/>
              <w:rPr>
                <w:rStyle w:val="Strong"/>
                <w:b w:val="false"/>
                <w:sz w:val="18"/>
              </w:rPr>
            </w:pPr>
            <w:r>
              <w:rPr/>
            </w:r>
          </w:p>
          <w:p>
            <w:pPr>
              <w:pStyle w:val="Normal"/>
              <w:rPr/>
            </w:pPr>
            <w:r>
              <w:rPr>
                <w:rStyle w:val="Strong"/>
                <w:b w:val="false"/>
                <w:sz w:val="18"/>
              </w:rPr>
              <w:t>9.0</w:t>
            </w:r>
          </w:p>
        </w:tc>
        <w:tc>
          <w:tcPr>
            <w:tcW w:w="2830" w:type="dxa"/>
            <w:tcBorders/>
          </w:tcPr>
          <w:p>
            <w:pPr>
              <w:pStyle w:val="Normal"/>
              <w:snapToGrid w:val="false"/>
              <w:rPr>
                <w:rStyle w:val="Strong"/>
                <w:b w:val="false"/>
                <w:sz w:val="18"/>
              </w:rPr>
            </w:pPr>
            <w:r>
              <w:rPr/>
            </w:r>
          </w:p>
          <w:p>
            <w:pPr>
              <w:pStyle w:val="Normal"/>
              <w:rPr/>
            </w:pPr>
            <w:r>
              <w:rPr>
                <w:rStyle w:val="Strong"/>
                <w:b w:val="false"/>
                <w:sz w:val="18"/>
              </w:rPr>
              <w:t>Dec 2001</w:t>
            </w:r>
          </w:p>
        </w:tc>
      </w:tr>
      <w:tr>
        <w:trPr/>
        <w:tc>
          <w:tcPr>
            <w:tcW w:w="2024" w:type="dxa"/>
            <w:tcBorders/>
          </w:tcPr>
          <w:p>
            <w:pPr>
              <w:pStyle w:val="Normal"/>
              <w:snapToGrid w:val="false"/>
              <w:rPr>
                <w:rStyle w:val="Strong"/>
                <w:b w:val="false"/>
                <w:sz w:val="18"/>
              </w:rPr>
            </w:pPr>
            <w:r>
              <w:rPr/>
            </w:r>
          </w:p>
          <w:p>
            <w:pPr>
              <w:pStyle w:val="Normal"/>
              <w:rPr/>
            </w:pPr>
            <w:r>
              <w:rPr>
                <w:rStyle w:val="Strong"/>
                <w:b w:val="false"/>
                <w:sz w:val="18"/>
              </w:rPr>
              <w:t>National Wind Power</w:t>
            </w:r>
          </w:p>
        </w:tc>
        <w:tc>
          <w:tcPr>
            <w:tcW w:w="1492" w:type="dxa"/>
            <w:tcBorders/>
          </w:tcPr>
          <w:p>
            <w:pPr>
              <w:pStyle w:val="Normal"/>
              <w:snapToGrid w:val="false"/>
              <w:rPr>
                <w:rStyle w:val="Strong"/>
                <w:b w:val="false"/>
                <w:sz w:val="18"/>
              </w:rPr>
            </w:pPr>
            <w:r>
              <w:rPr/>
            </w:r>
          </w:p>
          <w:p>
            <w:pPr>
              <w:pStyle w:val="Normal"/>
              <w:rPr/>
            </w:pPr>
            <w:r>
              <w:rPr>
                <w:rStyle w:val="Strong"/>
                <w:b w:val="false"/>
                <w:sz w:val="18"/>
              </w:rPr>
              <w:t>Scranton, Lackawanna Co.</w:t>
            </w:r>
          </w:p>
        </w:tc>
        <w:tc>
          <w:tcPr>
            <w:tcW w:w="1118" w:type="dxa"/>
            <w:tcBorders/>
          </w:tcPr>
          <w:p>
            <w:pPr>
              <w:pStyle w:val="Normal"/>
              <w:snapToGrid w:val="false"/>
              <w:rPr>
                <w:rStyle w:val="Strong"/>
                <w:b w:val="false"/>
                <w:sz w:val="18"/>
              </w:rPr>
            </w:pPr>
            <w:r>
              <w:rPr/>
            </w:r>
          </w:p>
          <w:p>
            <w:pPr>
              <w:pStyle w:val="Normal"/>
              <w:rPr/>
            </w:pPr>
            <w:r>
              <w:rPr>
                <w:rStyle w:val="Strong"/>
                <w:b w:val="false"/>
                <w:sz w:val="18"/>
              </w:rPr>
              <w:t>Planned</w:t>
            </w:r>
          </w:p>
        </w:tc>
        <w:tc>
          <w:tcPr>
            <w:tcW w:w="1263" w:type="dxa"/>
            <w:tcBorders/>
          </w:tcPr>
          <w:p>
            <w:pPr>
              <w:pStyle w:val="Normal"/>
              <w:snapToGrid w:val="false"/>
              <w:rPr>
                <w:rStyle w:val="Strong"/>
                <w:b w:val="false"/>
                <w:sz w:val="18"/>
              </w:rPr>
            </w:pPr>
            <w:r>
              <w:rPr/>
            </w:r>
          </w:p>
          <w:p>
            <w:pPr>
              <w:pStyle w:val="Normal"/>
              <w:rPr/>
            </w:pPr>
            <w:r>
              <w:rPr>
                <w:rStyle w:val="Strong"/>
                <w:b w:val="false"/>
                <w:sz w:val="18"/>
              </w:rPr>
              <w:t>48.0</w:t>
            </w:r>
          </w:p>
        </w:tc>
        <w:tc>
          <w:tcPr>
            <w:tcW w:w="2830" w:type="dxa"/>
            <w:tcBorders/>
          </w:tcPr>
          <w:p>
            <w:pPr>
              <w:pStyle w:val="Normal"/>
              <w:snapToGrid w:val="false"/>
              <w:rPr>
                <w:rStyle w:val="Strong"/>
                <w:b w:val="false"/>
                <w:sz w:val="18"/>
              </w:rPr>
            </w:pPr>
            <w:r>
              <w:rPr/>
            </w:r>
          </w:p>
          <w:p>
            <w:pPr>
              <w:pStyle w:val="Normal"/>
              <w:rPr/>
            </w:pPr>
            <w:r>
              <w:rPr>
                <w:rStyle w:val="Strong"/>
                <w:b w:val="false"/>
                <w:sz w:val="18"/>
              </w:rPr>
              <w:t>Summer 2002 / TBD</w:t>
            </w:r>
          </w:p>
        </w:tc>
      </w:tr>
      <w:tr>
        <w:trPr/>
        <w:tc>
          <w:tcPr>
            <w:tcW w:w="2024" w:type="dxa"/>
            <w:tcBorders/>
          </w:tcPr>
          <w:p>
            <w:pPr>
              <w:pStyle w:val="Normal"/>
              <w:snapToGrid w:val="false"/>
              <w:rPr>
                <w:rStyle w:val="Strong"/>
                <w:b w:val="false"/>
                <w:sz w:val="18"/>
              </w:rPr>
            </w:pPr>
            <w:r>
              <w:rPr/>
            </w:r>
          </w:p>
          <w:p>
            <w:pPr>
              <w:pStyle w:val="Normal"/>
              <w:rPr/>
            </w:pPr>
            <w:r>
              <w:rPr>
                <w:rStyle w:val="Strong"/>
                <w:b w:val="false"/>
                <w:sz w:val="18"/>
              </w:rPr>
              <w:t>Exelon Power Team &amp; Community Energy Inc.</w:t>
              <w:br/>
              <w:t>(Waymart Wind Farm)</w:t>
            </w:r>
          </w:p>
        </w:tc>
        <w:tc>
          <w:tcPr>
            <w:tcW w:w="1492" w:type="dxa"/>
            <w:tcBorders/>
          </w:tcPr>
          <w:p>
            <w:pPr>
              <w:pStyle w:val="Normal"/>
              <w:snapToGrid w:val="false"/>
              <w:rPr>
                <w:rStyle w:val="Strong"/>
                <w:b w:val="false"/>
                <w:sz w:val="18"/>
              </w:rPr>
            </w:pPr>
            <w:r>
              <w:rPr/>
            </w:r>
          </w:p>
          <w:p>
            <w:pPr>
              <w:pStyle w:val="Normal"/>
              <w:rPr/>
            </w:pPr>
            <w:r>
              <w:rPr>
                <w:rStyle w:val="Strong"/>
                <w:b w:val="false"/>
                <w:sz w:val="18"/>
              </w:rPr>
              <w:t>Canaan Township, Wayne Co.</w:t>
            </w:r>
          </w:p>
        </w:tc>
        <w:tc>
          <w:tcPr>
            <w:tcW w:w="1118" w:type="dxa"/>
            <w:tcBorders/>
          </w:tcPr>
          <w:p>
            <w:pPr>
              <w:pStyle w:val="Normal"/>
              <w:snapToGrid w:val="false"/>
              <w:rPr>
                <w:rStyle w:val="Strong"/>
                <w:b w:val="false"/>
                <w:sz w:val="18"/>
              </w:rPr>
            </w:pPr>
            <w:r>
              <w:rPr/>
            </w:r>
          </w:p>
          <w:p>
            <w:pPr>
              <w:pStyle w:val="Normal"/>
              <w:rPr/>
            </w:pPr>
            <w:r>
              <w:rPr>
                <w:rStyle w:val="Strong"/>
                <w:b w:val="false"/>
                <w:sz w:val="18"/>
              </w:rPr>
              <w:t>Proposed</w:t>
            </w:r>
          </w:p>
        </w:tc>
        <w:tc>
          <w:tcPr>
            <w:tcW w:w="1263" w:type="dxa"/>
            <w:tcBorders/>
          </w:tcPr>
          <w:p>
            <w:pPr>
              <w:pStyle w:val="Normal"/>
              <w:snapToGrid w:val="false"/>
              <w:rPr>
                <w:rStyle w:val="Strong"/>
                <w:b w:val="false"/>
                <w:sz w:val="18"/>
              </w:rPr>
            </w:pPr>
            <w:r>
              <w:rPr/>
            </w:r>
          </w:p>
          <w:p>
            <w:pPr>
              <w:pStyle w:val="Normal"/>
              <w:rPr/>
            </w:pPr>
            <w:r>
              <w:rPr>
                <w:rStyle w:val="Strong"/>
                <w:b w:val="false"/>
                <w:sz w:val="18"/>
              </w:rPr>
              <w:t>52.0</w:t>
            </w:r>
          </w:p>
        </w:tc>
        <w:tc>
          <w:tcPr>
            <w:tcW w:w="2830" w:type="dxa"/>
            <w:tcBorders/>
          </w:tcPr>
          <w:p>
            <w:pPr>
              <w:pStyle w:val="Normal"/>
              <w:snapToGrid w:val="false"/>
              <w:rPr>
                <w:rStyle w:val="Strong"/>
                <w:b w:val="false"/>
                <w:sz w:val="18"/>
              </w:rPr>
            </w:pPr>
            <w:r>
              <w:rPr/>
            </w:r>
          </w:p>
          <w:p>
            <w:pPr>
              <w:pStyle w:val="Normal"/>
              <w:rPr/>
            </w:pPr>
            <w:r>
              <w:rPr>
                <w:rStyle w:val="Strong"/>
                <w:b w:val="false"/>
                <w:sz w:val="18"/>
              </w:rPr>
              <w:t>2001 / TBD</w:t>
            </w:r>
          </w:p>
        </w:tc>
      </w:tr>
      <w:tr>
        <w:trPr/>
        <w:tc>
          <w:tcPr>
            <w:tcW w:w="2024" w:type="dxa"/>
            <w:tcBorders/>
          </w:tcPr>
          <w:p>
            <w:pPr>
              <w:pStyle w:val="Normal"/>
              <w:snapToGrid w:val="false"/>
              <w:rPr>
                <w:rStyle w:val="Strong"/>
                <w:b w:val="false"/>
                <w:sz w:val="18"/>
              </w:rPr>
            </w:pPr>
            <w:r>
              <w:rPr/>
            </w:r>
          </w:p>
          <w:p>
            <w:pPr>
              <w:pStyle w:val="Normal"/>
              <w:rPr/>
            </w:pPr>
            <w:r>
              <w:rPr>
                <w:rStyle w:val="Strong"/>
                <w:b w:val="false"/>
                <w:sz w:val="18"/>
              </w:rPr>
              <w:t>Global Winds Harvest, Inc.</w:t>
            </w:r>
          </w:p>
        </w:tc>
        <w:tc>
          <w:tcPr>
            <w:tcW w:w="1492" w:type="dxa"/>
            <w:tcBorders/>
          </w:tcPr>
          <w:p>
            <w:pPr>
              <w:pStyle w:val="Normal"/>
              <w:snapToGrid w:val="false"/>
              <w:rPr>
                <w:rStyle w:val="Strong"/>
                <w:b w:val="false"/>
                <w:sz w:val="18"/>
              </w:rPr>
            </w:pPr>
            <w:r>
              <w:rPr/>
            </w:r>
          </w:p>
          <w:p>
            <w:pPr>
              <w:pStyle w:val="Normal"/>
              <w:rPr/>
            </w:pPr>
            <w:r>
              <w:rPr>
                <w:rStyle w:val="Strong"/>
                <w:b w:val="false"/>
                <w:sz w:val="18"/>
              </w:rPr>
              <w:t>Bear Creek &amp; Jefferson Townships</w:t>
            </w:r>
          </w:p>
        </w:tc>
        <w:tc>
          <w:tcPr>
            <w:tcW w:w="1118" w:type="dxa"/>
            <w:tcBorders/>
          </w:tcPr>
          <w:p>
            <w:pPr>
              <w:pStyle w:val="Normal"/>
              <w:rPr/>
            </w:pPr>
            <w:r>
              <w:rPr>
                <w:rStyle w:val="Strong"/>
                <w:b w:val="false"/>
                <w:sz w:val="18"/>
              </w:rPr>
              <w:t>Proposed</w:t>
            </w:r>
          </w:p>
        </w:tc>
        <w:tc>
          <w:tcPr>
            <w:tcW w:w="1263" w:type="dxa"/>
            <w:tcBorders/>
          </w:tcPr>
          <w:p>
            <w:pPr>
              <w:pStyle w:val="Normal"/>
              <w:rPr/>
            </w:pPr>
            <w:r>
              <w:rPr>
                <w:rStyle w:val="Strong"/>
                <w:b w:val="false"/>
                <w:sz w:val="18"/>
              </w:rPr>
              <w:t>18.2</w:t>
            </w:r>
          </w:p>
        </w:tc>
        <w:tc>
          <w:tcPr>
            <w:tcW w:w="2830" w:type="dxa"/>
            <w:tcBorders/>
          </w:tcPr>
          <w:p>
            <w:pPr>
              <w:pStyle w:val="Normal"/>
              <w:rPr/>
            </w:pPr>
            <w:r>
              <w:rPr>
                <w:rStyle w:val="Strong"/>
                <w:b w:val="false"/>
                <w:sz w:val="18"/>
              </w:rPr>
              <w:t>2002 / Nordex</w:t>
            </w:r>
          </w:p>
        </w:tc>
      </w:tr>
      <w:tr>
        <w:trPr/>
        <w:tc>
          <w:tcPr>
            <w:tcW w:w="2024" w:type="dxa"/>
            <w:tcBorders/>
          </w:tcPr>
          <w:p>
            <w:pPr>
              <w:pStyle w:val="Normal"/>
              <w:snapToGrid w:val="false"/>
              <w:rPr>
                <w:rStyle w:val="Strong"/>
                <w:b w:val="false"/>
                <w:sz w:val="18"/>
              </w:rPr>
            </w:pPr>
            <w:r>
              <w:rPr/>
            </w:r>
          </w:p>
          <w:p>
            <w:pPr>
              <w:pStyle w:val="Normal"/>
              <w:rPr/>
            </w:pPr>
            <w:r>
              <w:rPr>
                <w:rStyle w:val="Strong"/>
                <w:b w:val="false"/>
                <w:sz w:val="18"/>
              </w:rPr>
              <w:t>PECO/Unicom / Atlantic Renewable Energy Corp; Zilkha Renewable Energy</w:t>
            </w:r>
          </w:p>
        </w:tc>
        <w:tc>
          <w:tcPr>
            <w:tcW w:w="1492" w:type="dxa"/>
            <w:tcBorders/>
          </w:tcPr>
          <w:p>
            <w:pPr>
              <w:pStyle w:val="Normal"/>
              <w:snapToGrid w:val="false"/>
              <w:rPr>
                <w:rStyle w:val="Strong"/>
                <w:b w:val="false"/>
                <w:sz w:val="18"/>
              </w:rPr>
            </w:pPr>
            <w:r>
              <w:rPr/>
            </w:r>
          </w:p>
          <w:p>
            <w:pPr>
              <w:pStyle w:val="Normal"/>
              <w:rPr/>
            </w:pPr>
            <w:r>
              <w:rPr>
                <w:rStyle w:val="Strong"/>
                <w:b w:val="false"/>
                <w:sz w:val="18"/>
              </w:rPr>
              <w:t>Meyersdale</w:t>
            </w:r>
          </w:p>
        </w:tc>
        <w:tc>
          <w:tcPr>
            <w:tcW w:w="1118" w:type="dxa"/>
            <w:tcBorders/>
          </w:tcPr>
          <w:p>
            <w:pPr>
              <w:pStyle w:val="Normal"/>
              <w:snapToGrid w:val="false"/>
              <w:rPr>
                <w:rStyle w:val="Strong"/>
                <w:b w:val="false"/>
                <w:sz w:val="18"/>
              </w:rPr>
            </w:pPr>
            <w:r>
              <w:rPr/>
            </w:r>
          </w:p>
          <w:p>
            <w:pPr>
              <w:pStyle w:val="Normal"/>
              <w:rPr/>
            </w:pPr>
            <w:r>
              <w:rPr>
                <w:rStyle w:val="Strong"/>
                <w:b w:val="false"/>
                <w:sz w:val="18"/>
              </w:rPr>
              <w:t>Proposed</w:t>
            </w:r>
          </w:p>
        </w:tc>
        <w:tc>
          <w:tcPr>
            <w:tcW w:w="1263" w:type="dxa"/>
            <w:tcBorders/>
          </w:tcPr>
          <w:p>
            <w:pPr>
              <w:pStyle w:val="Normal"/>
              <w:snapToGrid w:val="false"/>
              <w:rPr>
                <w:rStyle w:val="Strong"/>
                <w:b w:val="false"/>
                <w:sz w:val="18"/>
              </w:rPr>
            </w:pPr>
            <w:r>
              <w:rPr/>
            </w:r>
          </w:p>
          <w:p>
            <w:pPr>
              <w:pStyle w:val="Normal"/>
              <w:rPr/>
            </w:pPr>
            <w:r>
              <w:rPr>
                <w:rStyle w:val="Strong"/>
                <w:b w:val="false"/>
                <w:sz w:val="18"/>
              </w:rPr>
              <w:t>30.0</w:t>
            </w:r>
          </w:p>
        </w:tc>
        <w:tc>
          <w:tcPr>
            <w:tcW w:w="2830" w:type="dxa"/>
            <w:tcBorders/>
          </w:tcPr>
          <w:p>
            <w:pPr>
              <w:pStyle w:val="Normal"/>
              <w:snapToGrid w:val="false"/>
              <w:rPr>
                <w:rStyle w:val="Strong"/>
                <w:b w:val="false"/>
                <w:sz w:val="18"/>
              </w:rPr>
            </w:pPr>
            <w:r>
              <w:rPr/>
            </w:r>
          </w:p>
          <w:p>
            <w:pPr>
              <w:pStyle w:val="Normal"/>
              <w:rPr/>
            </w:pPr>
            <w:r>
              <w:rPr>
                <w:rStyle w:val="Strong"/>
                <w:b w:val="false"/>
                <w:sz w:val="18"/>
              </w:rPr>
              <w:t>TBD</w:t>
            </w:r>
          </w:p>
        </w:tc>
      </w:tr>
      <w:tr>
        <w:trPr/>
        <w:tc>
          <w:tcPr>
            <w:tcW w:w="2024" w:type="dxa"/>
            <w:tcBorders/>
          </w:tcPr>
          <w:p>
            <w:pPr>
              <w:pStyle w:val="Normal"/>
              <w:snapToGrid w:val="false"/>
              <w:rPr>
                <w:rStyle w:val="Strong"/>
                <w:b w:val="false"/>
                <w:sz w:val="18"/>
              </w:rPr>
            </w:pPr>
            <w:r>
              <w:rPr/>
            </w:r>
          </w:p>
          <w:p>
            <w:pPr>
              <w:pStyle w:val="Normal"/>
              <w:rPr/>
            </w:pPr>
            <w:r>
              <w:rPr>
                <w:rStyle w:val="Strong"/>
                <w:b w:val="false"/>
                <w:sz w:val="18"/>
              </w:rPr>
              <w:t>Keystone Wind</w:t>
            </w:r>
          </w:p>
        </w:tc>
        <w:tc>
          <w:tcPr>
            <w:tcW w:w="1492" w:type="dxa"/>
            <w:tcBorders/>
          </w:tcPr>
          <w:p>
            <w:pPr>
              <w:pStyle w:val="Normal"/>
              <w:snapToGrid w:val="false"/>
              <w:rPr>
                <w:rStyle w:val="Strong"/>
                <w:b w:val="false"/>
                <w:sz w:val="18"/>
              </w:rPr>
            </w:pPr>
            <w:r>
              <w:rPr/>
            </w:r>
          </w:p>
          <w:p>
            <w:pPr>
              <w:pStyle w:val="Normal"/>
              <w:rPr/>
            </w:pPr>
            <w:r>
              <w:rPr>
                <w:rStyle w:val="Strong"/>
                <w:b w:val="false"/>
                <w:sz w:val="18"/>
              </w:rPr>
              <w:t>Somerset</w:t>
            </w:r>
          </w:p>
        </w:tc>
        <w:tc>
          <w:tcPr>
            <w:tcW w:w="1118" w:type="dxa"/>
            <w:tcBorders/>
          </w:tcPr>
          <w:p>
            <w:pPr>
              <w:pStyle w:val="Normal"/>
              <w:snapToGrid w:val="false"/>
              <w:rPr>
                <w:rStyle w:val="Strong"/>
                <w:b w:val="false"/>
                <w:sz w:val="18"/>
              </w:rPr>
            </w:pPr>
            <w:r>
              <w:rPr/>
            </w:r>
          </w:p>
          <w:p>
            <w:pPr>
              <w:pStyle w:val="Normal"/>
              <w:rPr/>
            </w:pPr>
            <w:r>
              <w:rPr>
                <w:rStyle w:val="Strong"/>
                <w:b w:val="false"/>
                <w:sz w:val="18"/>
              </w:rPr>
              <w:t>Proposed</w:t>
            </w:r>
          </w:p>
        </w:tc>
        <w:tc>
          <w:tcPr>
            <w:tcW w:w="1263" w:type="dxa"/>
            <w:tcBorders/>
          </w:tcPr>
          <w:p>
            <w:pPr>
              <w:pStyle w:val="Normal"/>
              <w:snapToGrid w:val="false"/>
              <w:rPr>
                <w:rStyle w:val="Strong"/>
                <w:b w:val="false"/>
                <w:sz w:val="18"/>
              </w:rPr>
            </w:pPr>
            <w:r>
              <w:rPr/>
            </w:r>
          </w:p>
          <w:p>
            <w:pPr>
              <w:pStyle w:val="Normal"/>
              <w:rPr/>
            </w:pPr>
            <w:r>
              <w:rPr>
                <w:rStyle w:val="Strong"/>
                <w:b w:val="false"/>
                <w:sz w:val="18"/>
              </w:rPr>
              <w:t>25.0</w:t>
            </w:r>
          </w:p>
        </w:tc>
        <w:tc>
          <w:tcPr>
            <w:tcW w:w="2830" w:type="dxa"/>
            <w:tcBorders/>
          </w:tcPr>
          <w:p>
            <w:pPr>
              <w:pStyle w:val="Normal"/>
              <w:snapToGrid w:val="false"/>
              <w:rPr>
                <w:rStyle w:val="Strong"/>
                <w:b w:val="false"/>
                <w:sz w:val="18"/>
              </w:rPr>
            </w:pPr>
            <w:r>
              <w:rPr/>
            </w:r>
          </w:p>
          <w:p>
            <w:pPr>
              <w:pStyle w:val="Normal"/>
              <w:rPr/>
            </w:pPr>
            <w:r>
              <w:rPr>
                <w:rStyle w:val="Strong"/>
                <w:b w:val="false"/>
                <w:sz w:val="18"/>
              </w:rPr>
              <w:t>TBD</w:t>
            </w:r>
          </w:p>
        </w:tc>
      </w:tr>
      <w:tr>
        <w:trPr/>
        <w:tc>
          <w:tcPr>
            <w:tcW w:w="2024" w:type="dxa"/>
            <w:tcBorders/>
          </w:tcPr>
          <w:p>
            <w:pPr>
              <w:pStyle w:val="Normal"/>
              <w:snapToGrid w:val="false"/>
              <w:rPr>
                <w:rStyle w:val="Strong"/>
                <w:b w:val="false"/>
                <w:sz w:val="18"/>
              </w:rPr>
            </w:pPr>
            <w:r>
              <w:rPr/>
            </w:r>
          </w:p>
          <w:p>
            <w:pPr>
              <w:pStyle w:val="Normal"/>
              <w:rPr/>
            </w:pPr>
            <w:r>
              <w:rPr>
                <w:rStyle w:val="Strong"/>
                <w:b w:val="false"/>
                <w:sz w:val="18"/>
              </w:rPr>
              <w:t>Energy Unlimited</w:t>
            </w:r>
          </w:p>
        </w:tc>
        <w:tc>
          <w:tcPr>
            <w:tcW w:w="1492" w:type="dxa"/>
            <w:tcBorders/>
          </w:tcPr>
          <w:p>
            <w:pPr>
              <w:pStyle w:val="Normal"/>
              <w:snapToGrid w:val="false"/>
              <w:rPr>
                <w:rStyle w:val="Strong"/>
                <w:b w:val="false"/>
                <w:sz w:val="18"/>
              </w:rPr>
            </w:pPr>
            <w:r>
              <w:rPr/>
            </w:r>
          </w:p>
          <w:p>
            <w:pPr>
              <w:pStyle w:val="Normal"/>
              <w:rPr/>
            </w:pPr>
            <w:r>
              <w:rPr>
                <w:rStyle w:val="Strong"/>
                <w:b w:val="false"/>
                <w:sz w:val="18"/>
              </w:rPr>
              <w:t>Mountaintop</w:t>
            </w:r>
          </w:p>
        </w:tc>
        <w:tc>
          <w:tcPr>
            <w:tcW w:w="1118" w:type="dxa"/>
            <w:tcBorders/>
          </w:tcPr>
          <w:p>
            <w:pPr>
              <w:pStyle w:val="Normal"/>
              <w:snapToGrid w:val="false"/>
              <w:rPr>
                <w:rStyle w:val="Strong"/>
                <w:b w:val="false"/>
                <w:sz w:val="18"/>
              </w:rPr>
            </w:pPr>
            <w:r>
              <w:rPr/>
            </w:r>
          </w:p>
          <w:p>
            <w:pPr>
              <w:pStyle w:val="Normal"/>
              <w:rPr/>
            </w:pPr>
            <w:r>
              <w:rPr>
                <w:rStyle w:val="Strong"/>
                <w:b w:val="false"/>
                <w:sz w:val="18"/>
              </w:rPr>
              <w:t>Proposed</w:t>
            </w:r>
          </w:p>
        </w:tc>
        <w:tc>
          <w:tcPr>
            <w:tcW w:w="1263" w:type="dxa"/>
            <w:tcBorders/>
          </w:tcPr>
          <w:p>
            <w:pPr>
              <w:pStyle w:val="Normal"/>
              <w:snapToGrid w:val="false"/>
              <w:rPr>
                <w:rStyle w:val="Strong"/>
                <w:b w:val="false"/>
                <w:sz w:val="18"/>
              </w:rPr>
            </w:pPr>
            <w:r>
              <w:rPr/>
            </w:r>
          </w:p>
          <w:p>
            <w:pPr>
              <w:pStyle w:val="Normal"/>
              <w:rPr/>
            </w:pPr>
            <w:r>
              <w:rPr>
                <w:rStyle w:val="Strong"/>
                <w:b w:val="false"/>
                <w:sz w:val="18"/>
              </w:rPr>
              <w:t>16.9</w:t>
            </w:r>
          </w:p>
        </w:tc>
        <w:tc>
          <w:tcPr>
            <w:tcW w:w="2830" w:type="dxa"/>
            <w:tcBorders/>
          </w:tcPr>
          <w:p>
            <w:pPr>
              <w:pStyle w:val="Normal"/>
              <w:snapToGrid w:val="false"/>
              <w:rPr>
                <w:rStyle w:val="Strong"/>
                <w:b w:val="false"/>
                <w:sz w:val="18"/>
              </w:rPr>
            </w:pPr>
            <w:r>
              <w:rPr/>
            </w:r>
          </w:p>
          <w:p>
            <w:pPr>
              <w:pStyle w:val="Normal"/>
              <w:rPr/>
            </w:pPr>
            <w:r>
              <w:rPr>
                <w:rStyle w:val="Strong"/>
                <w:b w:val="false"/>
                <w:sz w:val="18"/>
              </w:rPr>
              <w:t>TBD</w:t>
            </w:r>
          </w:p>
        </w:tc>
      </w:tr>
      <w:tr>
        <w:trPr/>
        <w:tc>
          <w:tcPr>
            <w:tcW w:w="2024" w:type="dxa"/>
            <w:tcBorders/>
          </w:tcPr>
          <w:p>
            <w:pPr>
              <w:pStyle w:val="Normal"/>
              <w:snapToGrid w:val="false"/>
              <w:rPr>
                <w:rStyle w:val="Strong"/>
                <w:b w:val="false"/>
                <w:sz w:val="18"/>
              </w:rPr>
            </w:pPr>
            <w:r>
              <w:rPr/>
            </w:r>
          </w:p>
        </w:tc>
        <w:tc>
          <w:tcPr>
            <w:tcW w:w="1492" w:type="dxa"/>
            <w:tcBorders/>
          </w:tcPr>
          <w:p>
            <w:pPr>
              <w:pStyle w:val="Normal"/>
              <w:snapToGrid w:val="false"/>
              <w:rPr>
                <w:rStyle w:val="Strong"/>
                <w:b w:val="false"/>
                <w:sz w:val="18"/>
              </w:rPr>
            </w:pPr>
            <w:r>
              <w:rPr/>
            </w:r>
          </w:p>
        </w:tc>
        <w:tc>
          <w:tcPr>
            <w:tcW w:w="1118" w:type="dxa"/>
            <w:tcBorders/>
          </w:tcPr>
          <w:p>
            <w:pPr>
              <w:pStyle w:val="Normal"/>
              <w:snapToGrid w:val="false"/>
              <w:rPr>
                <w:rStyle w:val="Strong"/>
                <w:b w:val="false"/>
                <w:sz w:val="18"/>
              </w:rPr>
            </w:pPr>
            <w:r>
              <w:rPr/>
            </w:r>
          </w:p>
        </w:tc>
        <w:tc>
          <w:tcPr>
            <w:tcW w:w="1263" w:type="dxa"/>
            <w:tcBorders/>
          </w:tcPr>
          <w:p>
            <w:pPr>
              <w:pStyle w:val="Normal"/>
              <w:snapToGrid w:val="false"/>
              <w:rPr>
                <w:rStyle w:val="Strong"/>
                <w:b w:val="false"/>
                <w:sz w:val="18"/>
              </w:rPr>
            </w:pPr>
            <w:r>
              <w:rPr/>
            </w:r>
          </w:p>
        </w:tc>
        <w:tc>
          <w:tcPr>
            <w:tcW w:w="2830" w:type="dxa"/>
            <w:tcBorders/>
          </w:tcPr>
          <w:p>
            <w:pPr>
              <w:pStyle w:val="Normal"/>
              <w:snapToGrid w:val="false"/>
              <w:rPr>
                <w:rStyle w:val="Strong"/>
                <w:b w:val="false"/>
                <w:sz w:val="18"/>
              </w:rPr>
            </w:pPr>
            <w:r>
              <w:rPr/>
            </w:r>
          </w:p>
        </w:tc>
      </w:tr>
      <w:tr>
        <w:trPr/>
        <w:tc>
          <w:tcPr>
            <w:tcW w:w="2024" w:type="dxa"/>
            <w:tcBorders/>
          </w:tcPr>
          <w:p>
            <w:pPr>
              <w:pStyle w:val="Normal"/>
              <w:snapToGrid w:val="false"/>
              <w:rPr>
                <w:rStyle w:val="Strong"/>
                <w:b w:val="false"/>
                <w:sz w:val="18"/>
              </w:rPr>
            </w:pPr>
            <w:r>
              <w:rPr/>
            </w:r>
          </w:p>
        </w:tc>
        <w:tc>
          <w:tcPr>
            <w:tcW w:w="1492" w:type="dxa"/>
            <w:tcBorders/>
          </w:tcPr>
          <w:p>
            <w:pPr>
              <w:pStyle w:val="Normal"/>
              <w:snapToGrid w:val="false"/>
              <w:rPr>
                <w:rStyle w:val="Strong"/>
                <w:b w:val="false"/>
                <w:sz w:val="18"/>
              </w:rPr>
            </w:pPr>
            <w:r>
              <w:rPr/>
            </w:r>
          </w:p>
        </w:tc>
        <w:tc>
          <w:tcPr>
            <w:tcW w:w="1118" w:type="dxa"/>
            <w:tcBorders/>
          </w:tcPr>
          <w:p>
            <w:pPr>
              <w:pStyle w:val="Normal"/>
              <w:snapToGrid w:val="false"/>
              <w:rPr>
                <w:rStyle w:val="Strong"/>
                <w:b w:val="false"/>
                <w:sz w:val="18"/>
              </w:rPr>
            </w:pPr>
            <w:r>
              <w:rPr/>
            </w:r>
          </w:p>
        </w:tc>
        <w:tc>
          <w:tcPr>
            <w:tcW w:w="1263" w:type="dxa"/>
            <w:tcBorders/>
          </w:tcPr>
          <w:p>
            <w:pPr>
              <w:pStyle w:val="Normal"/>
              <w:snapToGrid w:val="false"/>
              <w:rPr>
                <w:rStyle w:val="Strong"/>
                <w:b w:val="false"/>
                <w:sz w:val="18"/>
              </w:rPr>
            </w:pPr>
            <w:r>
              <w:rPr/>
            </w:r>
          </w:p>
        </w:tc>
        <w:tc>
          <w:tcPr>
            <w:tcW w:w="2830" w:type="dxa"/>
            <w:tcBorders/>
          </w:tcPr>
          <w:p>
            <w:pPr>
              <w:pStyle w:val="Normal"/>
              <w:snapToGrid w:val="false"/>
              <w:rPr>
                <w:rStyle w:val="Strong"/>
                <w:b w:val="false"/>
                <w:sz w:val="18"/>
              </w:rPr>
            </w:pPr>
            <w:r>
              <w:rPr/>
            </w:r>
          </w:p>
        </w:tc>
      </w:tr>
    </w:tbl>
    <w:p>
      <w:pPr>
        <w:pStyle w:val="Normal"/>
        <w:rPr/>
      </w:pPr>
      <w:r>
        <w:rPr>
          <w:rStyle w:val="Strong"/>
          <w:sz w:val="18"/>
        </w:rPr>
        <w:t>Sources:</w:t>
      </w:r>
      <w:r>
        <w:rPr>
          <w:rStyle w:val="Strong"/>
          <w:b w:val="false"/>
          <w:sz w:val="18"/>
        </w:rPr>
        <w:br/>
      </w:r>
      <w:r>
        <w:rPr>
          <w:rStyle w:val="Strong"/>
          <w:b w:val="false"/>
          <w:sz w:val="16"/>
        </w:rPr>
        <w:t xml:space="preserve">*Installed &amp; Projected MW - AWEA </w:t>
        <w:br/>
        <w:t xml:space="preserve">**Wind Energy Potential - </w:t>
      </w:r>
      <w:r>
        <w:rPr>
          <w:rStyle w:val="Emphasis"/>
          <w:b w:val="false"/>
          <w:sz w:val="16"/>
        </w:rPr>
        <w:t xml:space="preserve">An Assessment of the Available Windy Land Area and Wind Energy Potential in </w:t>
      </w:r>
    </w:p>
    <w:p>
      <w:pPr>
        <w:pStyle w:val="Normal"/>
        <w:rPr/>
      </w:pPr>
      <w:r>
        <w:rPr>
          <w:rStyle w:val="Emphasis"/>
          <w:sz w:val="16"/>
        </w:rPr>
        <w:t>the Contiguous United States</w:t>
      </w:r>
      <w:r>
        <w:rPr>
          <w:rStyle w:val="Strong"/>
          <w:b w:val="false"/>
          <w:sz w:val="16"/>
        </w:rPr>
        <w:t>, Pacific Northwest Laboratory, 1991.</w:t>
      </w:r>
      <w:r>
        <w:rPr>
          <w:rStyle w:val="Strong"/>
          <w:b w:val="false"/>
          <w:sz w:val="18"/>
        </w:rPr>
        <w:t xml:space="preserve"> </w:t>
      </w:r>
    </w:p>
    <w:p>
      <w:pPr>
        <w:pStyle w:val="Normal"/>
        <w:rPr>
          <w:rStyle w:val="Strong"/>
          <w:b w:val="false"/>
          <w:sz w:val="18"/>
        </w:rPr>
      </w:pPr>
      <w:r>
        <w:rPr/>
      </w:r>
    </w:p>
    <w:p>
      <w:pPr>
        <w:pStyle w:val="NormalWeb"/>
        <w:widowControl/>
        <w:jc w:val="both"/>
        <w:rPr>
          <w:b/>
          <w:sz w:val="18"/>
        </w:rPr>
      </w:pPr>
      <w:r>
        <w:rPr>
          <w:b/>
          <w:sz w:val="18"/>
        </w:rPr>
      </w:r>
    </w:p>
    <w:p>
      <w:pPr>
        <w:pStyle w:val="Normal"/>
        <w:rPr>
          <w:b/>
        </w:rPr>
      </w:pPr>
      <w:r>
        <w:rPr>
          <w:b/>
        </w:rPr>
      </w:r>
    </w:p>
    <w:p>
      <w:pPr>
        <w:pStyle w:val="Normal"/>
        <w:rPr/>
      </w:pPr>
      <w:r>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pPr>
      <w:r>
        <w:rPr>
          <w:sz w:val="24"/>
        </w:rPr>
        <w:t>The Green-e Program has played a pivotal role in the development of this market through its certification and verification programs.  Currently three companies are delivering four Green-e certified green power products in the Pennsylvania market.</w:t>
      </w:r>
      <w:r>
        <w:rPr>
          <w:rStyle w:val="FootnoteCharacters"/>
          <w:rStyle w:val="FootnoteReference"/>
          <w:sz w:val="24"/>
        </w:rPr>
        <w:footnoteReference w:id="10"/>
      </w:r>
      <w:r>
        <w:rPr>
          <w:sz w:val="24"/>
        </w:rPr>
        <w:t xml:space="preserve">  </w:t>
      </w:r>
    </w:p>
    <w:p>
      <w:pPr>
        <w:pStyle w:val="Normal"/>
        <w:jc w:val="both"/>
        <w:rPr>
          <w:sz w:val="24"/>
        </w:rPr>
      </w:pPr>
      <w:r>
        <w:rPr>
          <w:sz w:val="24"/>
        </w:rPr>
      </w:r>
    </w:p>
    <w:p>
      <w:pPr>
        <w:pStyle w:val="Normal"/>
        <w:jc w:val="both"/>
        <w:rPr/>
      </w:pPr>
      <w:r>
        <w:rPr>
          <w:sz w:val="24"/>
        </w:rPr>
        <w:t>In spite of the success of the Pennsylvania green power market, renewable energy represents less than two percent of the state’s generation capacity, as illustrated below in Table 2</w:t>
      </w:r>
      <w:r>
        <w:rPr>
          <w:rStyle w:val="FootnoteCharacters"/>
          <w:rStyle w:val="FootnoteReference"/>
          <w:sz w:val="24"/>
        </w:rPr>
        <w:footnoteReference w:id="11"/>
      </w:r>
      <w:r>
        <w:rPr>
          <w:sz w:val="24"/>
        </w:rPr>
        <w:t xml:space="preserve"> </w:t>
      </w:r>
      <w:r>
        <w:rPr>
          <w:rStyle w:val="FootnoteCharacters"/>
          <w:rStyle w:val="FootnoteReference"/>
          <w:sz w:val="24"/>
        </w:rPr>
        <w:footnoteReference w:id="12"/>
      </w:r>
      <w:r>
        <w:rPr>
          <w:sz w:val="24"/>
        </w:rPr>
        <w:t xml:space="preserve"> (this does not include some recent projects, but covers the majority of existing projects).  Although electric service providers can obtain renewable generation from other states, supply in those states is also minimal.  This low level of capacity remains a barrier to providing green power products to all customers who want them.  </w:t>
      </w:r>
    </w:p>
    <w:p>
      <w:pPr>
        <w:pStyle w:val="Normal"/>
        <w:rPr>
          <w:sz w:val="24"/>
        </w:rPr>
      </w:pPr>
      <w:r>
        <w:rPr>
          <w:sz w:val="24"/>
        </w:rPr>
      </w:r>
    </w:p>
    <w:p>
      <w:pPr>
        <w:pStyle w:val="Heading3"/>
        <w:widowControl/>
        <w:ind w:hanging="0" w:start="0"/>
        <w:rPr/>
      </w:pPr>
      <w:r>
        <w:rPr/>
        <w:t>Table 2: Pennsylvania Electricity Capacity</w:t>
      </w:r>
    </w:p>
    <w:p>
      <w:pPr>
        <w:pStyle w:val="Normal"/>
        <w:rPr/>
      </w:pPr>
      <w:r>
        <w:rPr/>
      </w:r>
    </w:p>
    <w:tbl>
      <w:tblPr>
        <w:tblW w:w="8730" w:type="dxa"/>
        <w:jc w:val="start"/>
        <w:tblInd w:w="108" w:type="dxa"/>
        <w:tblLayout w:type="fixed"/>
        <w:tblCellMar>
          <w:top w:w="0" w:type="dxa"/>
          <w:start w:w="108" w:type="dxa"/>
          <w:bottom w:w="0" w:type="dxa"/>
          <w:end w:w="108" w:type="dxa"/>
        </w:tblCellMar>
      </w:tblPr>
      <w:tblGrid>
        <w:gridCol w:w="3780"/>
        <w:gridCol w:w="2700"/>
        <w:gridCol w:w="2250"/>
      </w:tblGrid>
      <w:tr>
        <w:trPr/>
        <w:tc>
          <w:tcPr>
            <w:tcW w:w="3780" w:type="dxa"/>
            <w:tcBorders>
              <w:top w:val="single" w:sz="6" w:space="0" w:color="000000"/>
              <w:start w:val="single" w:sz="6" w:space="0" w:color="000000"/>
              <w:bottom w:val="single" w:sz="6" w:space="0" w:color="000000"/>
              <w:end w:val="single" w:sz="6" w:space="0" w:color="000000"/>
            </w:tcBorders>
          </w:tcPr>
          <w:p>
            <w:pPr>
              <w:pStyle w:val="Normal"/>
              <w:jc w:val="center"/>
              <w:rPr>
                <w:b/>
              </w:rPr>
            </w:pPr>
            <w:r>
              <w:rPr>
                <w:b/>
              </w:rPr>
              <w:t>Generation Source</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b/>
              </w:rPr>
            </w:pPr>
            <w:r>
              <w:rPr>
                <w:b/>
              </w:rPr>
              <w:t>Capacity</w:t>
            </w:r>
          </w:p>
        </w:tc>
        <w:tc>
          <w:tcPr>
            <w:tcW w:w="2250" w:type="dxa"/>
            <w:tcBorders>
              <w:top w:val="single" w:sz="6" w:space="0" w:color="000000"/>
              <w:start w:val="single" w:sz="6" w:space="0" w:color="000000"/>
              <w:bottom w:val="single" w:sz="6" w:space="0" w:color="000000"/>
              <w:end w:val="single" w:sz="6" w:space="0" w:color="000000"/>
            </w:tcBorders>
          </w:tcPr>
          <w:p>
            <w:pPr>
              <w:pStyle w:val="Normal"/>
              <w:jc w:val="center"/>
              <w:rPr>
                <w:b/>
              </w:rPr>
            </w:pPr>
            <w:r>
              <w:rPr>
                <w:b/>
              </w:rPr>
              <w:t>Percent of Capacity</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rPr/>
            </w:pPr>
            <w:r>
              <w:rPr/>
              <w:t>Coal</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end"/>
              <w:rPr/>
            </w:pPr>
            <w:r>
              <w:rPr/>
              <w:t>11,386,000 Kilowatts</w:t>
            </w:r>
          </w:p>
        </w:tc>
        <w:tc>
          <w:tcPr>
            <w:tcW w:w="2250" w:type="dxa"/>
            <w:tcBorders>
              <w:top w:val="single" w:sz="6" w:space="0" w:color="000000"/>
              <w:start w:val="single" w:sz="6" w:space="0" w:color="000000"/>
              <w:bottom w:val="single" w:sz="6" w:space="0" w:color="000000"/>
              <w:end w:val="single" w:sz="6" w:space="0" w:color="000000"/>
            </w:tcBorders>
          </w:tcPr>
          <w:p>
            <w:pPr>
              <w:pStyle w:val="Normal"/>
              <w:jc w:val="end"/>
              <w:rPr/>
            </w:pPr>
            <w:r>
              <w:rPr/>
              <w:t>40.5%</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rPr/>
            </w:pPr>
            <w:r>
              <w:rPr/>
              <w:t>Petroleum</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end"/>
              <w:rPr/>
            </w:pPr>
            <w:r>
              <w:rPr/>
              <w:t>3,649,000 Kilowatts</w:t>
            </w:r>
          </w:p>
        </w:tc>
        <w:tc>
          <w:tcPr>
            <w:tcW w:w="2250" w:type="dxa"/>
            <w:tcBorders>
              <w:top w:val="single" w:sz="6" w:space="0" w:color="000000"/>
              <w:start w:val="single" w:sz="6" w:space="0" w:color="000000"/>
              <w:bottom w:val="single" w:sz="6" w:space="0" w:color="000000"/>
              <w:end w:val="single" w:sz="6" w:space="0" w:color="000000"/>
            </w:tcBorders>
          </w:tcPr>
          <w:p>
            <w:pPr>
              <w:pStyle w:val="Normal"/>
              <w:jc w:val="end"/>
              <w:rPr/>
            </w:pPr>
            <w:r>
              <w:rPr/>
              <w:t>13.0%</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rPr/>
            </w:pPr>
            <w:r>
              <w:rPr/>
              <w:t>Gas</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end"/>
              <w:rPr/>
            </w:pPr>
            <w:r>
              <w:rPr/>
              <w:t>2,016,000 Kilowatts</w:t>
            </w:r>
          </w:p>
        </w:tc>
        <w:tc>
          <w:tcPr>
            <w:tcW w:w="2250" w:type="dxa"/>
            <w:tcBorders>
              <w:top w:val="single" w:sz="6" w:space="0" w:color="000000"/>
              <w:start w:val="single" w:sz="6" w:space="0" w:color="000000"/>
              <w:bottom w:val="single" w:sz="6" w:space="0" w:color="000000"/>
              <w:end w:val="single" w:sz="6" w:space="0" w:color="000000"/>
            </w:tcBorders>
          </w:tcPr>
          <w:p>
            <w:pPr>
              <w:pStyle w:val="Normal"/>
              <w:jc w:val="end"/>
              <w:rPr/>
            </w:pPr>
            <w:r>
              <w:rPr/>
              <w:t>7.2%</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rPr/>
            </w:pPr>
            <w:r>
              <w:rPr/>
              <w:t>Water (Pumped storage hydroelectric)</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end"/>
              <w:rPr/>
            </w:pPr>
            <w:r>
              <w:rPr/>
              <w:t>1,269,000 Kilowatts</w:t>
            </w:r>
          </w:p>
        </w:tc>
        <w:tc>
          <w:tcPr>
            <w:tcW w:w="2250" w:type="dxa"/>
            <w:tcBorders>
              <w:top w:val="single" w:sz="6" w:space="0" w:color="000000"/>
              <w:start w:val="single" w:sz="6" w:space="0" w:color="000000"/>
              <w:bottom w:val="single" w:sz="6" w:space="0" w:color="000000"/>
              <w:end w:val="single" w:sz="6" w:space="0" w:color="000000"/>
            </w:tcBorders>
          </w:tcPr>
          <w:p>
            <w:pPr>
              <w:pStyle w:val="Normal"/>
              <w:jc w:val="end"/>
              <w:rPr/>
            </w:pPr>
            <w:r>
              <w:rPr/>
              <w:t>4.5%</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rPr/>
            </w:pPr>
            <w:r>
              <w:rPr/>
              <w:t>Water (Conventional hydroelectric)</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end"/>
              <w:rPr/>
            </w:pPr>
            <w:r>
              <w:rPr/>
              <w:t>607,000 Kilowatts</w:t>
            </w:r>
          </w:p>
        </w:tc>
        <w:tc>
          <w:tcPr>
            <w:tcW w:w="2250" w:type="dxa"/>
            <w:tcBorders>
              <w:top w:val="single" w:sz="6" w:space="0" w:color="000000"/>
              <w:start w:val="single" w:sz="6" w:space="0" w:color="000000"/>
              <w:bottom w:val="single" w:sz="6" w:space="0" w:color="000000"/>
              <w:end w:val="single" w:sz="6" w:space="0" w:color="000000"/>
            </w:tcBorders>
          </w:tcPr>
          <w:p>
            <w:pPr>
              <w:pStyle w:val="Normal"/>
              <w:jc w:val="end"/>
              <w:rPr/>
            </w:pPr>
            <w:r>
              <w:rPr/>
              <w:t>2.2%</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rPr/>
            </w:pPr>
            <w:r>
              <w:rPr/>
              <w:t>Nuclear</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end"/>
              <w:rPr/>
            </w:pPr>
            <w:r>
              <w:rPr/>
              <w:t>8,685,000 Kilowatts</w:t>
            </w:r>
          </w:p>
        </w:tc>
        <w:tc>
          <w:tcPr>
            <w:tcW w:w="2250" w:type="dxa"/>
            <w:tcBorders>
              <w:top w:val="single" w:sz="6" w:space="0" w:color="000000"/>
              <w:start w:val="single" w:sz="6" w:space="0" w:color="000000"/>
              <w:bottom w:val="single" w:sz="6" w:space="0" w:color="000000"/>
              <w:end w:val="single" w:sz="6" w:space="0" w:color="000000"/>
            </w:tcBorders>
          </w:tcPr>
          <w:p>
            <w:pPr>
              <w:pStyle w:val="Normal"/>
              <w:jc w:val="end"/>
              <w:rPr/>
            </w:pPr>
            <w:r>
              <w:rPr/>
              <w:t>30.9%</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rPr/>
            </w:pPr>
            <w:r>
              <w:rPr/>
              <w:t>Solar Photovoltaic</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end"/>
              <w:rPr/>
            </w:pPr>
            <w:r>
              <w:rPr/>
              <w:t>225 Kilowatts</w:t>
            </w:r>
          </w:p>
        </w:tc>
        <w:tc>
          <w:tcPr>
            <w:tcW w:w="2250" w:type="dxa"/>
            <w:tcBorders>
              <w:top w:val="single" w:sz="6" w:space="0" w:color="000000"/>
              <w:start w:val="single" w:sz="6" w:space="0" w:color="000000"/>
              <w:bottom w:val="single" w:sz="6" w:space="0" w:color="000000"/>
              <w:end w:val="single" w:sz="6" w:space="0" w:color="000000"/>
            </w:tcBorders>
          </w:tcPr>
          <w:p>
            <w:pPr>
              <w:pStyle w:val="Normal"/>
              <w:jc w:val="end"/>
              <w:rPr/>
            </w:pPr>
            <w:r>
              <w:rPr/>
              <w:t>&lt;1%</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rPr/>
            </w:pPr>
            <w:r>
              <w:rPr/>
              <w:t>Wind</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end"/>
              <w:rPr/>
            </w:pPr>
            <w:r>
              <w:rPr/>
              <w:t>11,000 Kilowatts</w:t>
            </w:r>
          </w:p>
        </w:tc>
        <w:tc>
          <w:tcPr>
            <w:tcW w:w="2250" w:type="dxa"/>
            <w:tcBorders>
              <w:top w:val="single" w:sz="6" w:space="0" w:color="000000"/>
              <w:start w:val="single" w:sz="6" w:space="0" w:color="000000"/>
              <w:bottom w:val="single" w:sz="6" w:space="0" w:color="000000"/>
              <w:end w:val="single" w:sz="6" w:space="0" w:color="000000"/>
            </w:tcBorders>
          </w:tcPr>
          <w:p>
            <w:pPr>
              <w:pStyle w:val="Normal"/>
              <w:jc w:val="end"/>
              <w:rPr/>
            </w:pPr>
            <w:r>
              <w:rPr/>
              <w:t>&lt;1%</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rPr/>
            </w:pPr>
            <w:r>
              <w:rPr/>
              <w:t>Biomass</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end"/>
              <w:rPr/>
            </w:pPr>
            <w:r>
              <w:rPr/>
              <w:t>470,860 Kilowatts</w:t>
            </w:r>
          </w:p>
        </w:tc>
        <w:tc>
          <w:tcPr>
            <w:tcW w:w="2250" w:type="dxa"/>
            <w:tcBorders>
              <w:top w:val="single" w:sz="6" w:space="0" w:color="000000"/>
              <w:start w:val="single" w:sz="6" w:space="0" w:color="000000"/>
              <w:bottom w:val="single" w:sz="6" w:space="0" w:color="000000"/>
              <w:end w:val="single" w:sz="6" w:space="0" w:color="000000"/>
            </w:tcBorders>
          </w:tcPr>
          <w:p>
            <w:pPr>
              <w:pStyle w:val="Normal"/>
              <w:jc w:val="end"/>
              <w:rPr/>
            </w:pPr>
            <w:r>
              <w:rPr/>
              <w:t>1.7%</w:t>
            </w:r>
          </w:p>
        </w:tc>
      </w:tr>
      <w:tr>
        <w:trPr/>
        <w:tc>
          <w:tcPr>
            <w:tcW w:w="3780" w:type="dxa"/>
            <w:tcBorders>
              <w:top w:val="single" w:sz="6" w:space="0" w:color="000000"/>
              <w:start w:val="single" w:sz="6" w:space="0" w:color="000000"/>
              <w:bottom w:val="single" w:sz="6" w:space="0" w:color="000000"/>
              <w:end w:val="single" w:sz="6" w:space="0" w:color="000000"/>
            </w:tcBorders>
          </w:tcPr>
          <w:p>
            <w:pPr>
              <w:pStyle w:val="Normal"/>
              <w:rPr/>
            </w:pPr>
            <w:r>
              <w:rPr/>
              <w:t>Total</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end"/>
              <w:rPr/>
            </w:pPr>
            <w:r>
              <w:rPr/>
              <w:t>28,094,085 Kilowatts</w:t>
            </w:r>
          </w:p>
        </w:tc>
        <w:tc>
          <w:tcPr>
            <w:tcW w:w="2250" w:type="dxa"/>
            <w:tcBorders>
              <w:top w:val="single" w:sz="6" w:space="0" w:color="000000"/>
              <w:start w:val="single" w:sz="6" w:space="0" w:color="000000"/>
              <w:bottom w:val="single" w:sz="6" w:space="0" w:color="000000"/>
              <w:end w:val="single" w:sz="6" w:space="0" w:color="000000"/>
            </w:tcBorders>
          </w:tcPr>
          <w:p>
            <w:pPr>
              <w:pStyle w:val="Normal"/>
              <w:jc w:val="end"/>
              <w:rPr/>
            </w:pPr>
            <w:r>
              <w:rPr/>
              <w:t>100%</w:t>
            </w:r>
          </w:p>
        </w:tc>
      </w:tr>
    </w:tbl>
    <w:p>
      <w:pPr>
        <w:pStyle w:val="Normal"/>
        <w:rPr/>
      </w:pPr>
      <w:r>
        <w:rPr/>
      </w:r>
    </w:p>
    <w:p>
      <w:pPr>
        <w:pStyle w:val="Normal"/>
        <w:jc w:val="both"/>
        <w:rPr/>
      </w:pPr>
      <w:r>
        <w:rPr>
          <w:sz w:val="24"/>
        </w:rPr>
        <w:t>EECs can provide a supplemental resource for green power products.  Table 2 above illustrates that based on installed capacity; the amount of renewable electricity and green power credits that can be bought, sold and offered to Pennsylvania customers is extremely small.  Furthermore, not all of the generation described above meets Green-e standards.</w:t>
      </w:r>
      <w:r>
        <w:rPr>
          <w:rStyle w:val="FootnoteCharacters"/>
          <w:rStyle w:val="FootnoteReference"/>
          <w:sz w:val="24"/>
        </w:rPr>
        <w:footnoteReference w:id="13"/>
      </w:r>
      <w:r>
        <w:rPr>
          <w:sz w:val="24"/>
        </w:rPr>
        <w:t xml:space="preserve">  Most of the hydroelectric and biomass capacity is not eligible because these plants do not meet the capacity limit of 30 megawatts or less, or the emissions standards, respectively.</w:t>
      </w:r>
    </w:p>
    <w:p>
      <w:pPr>
        <w:pStyle w:val="Normal"/>
        <w:jc w:val="both"/>
        <w:rPr>
          <w:sz w:val="24"/>
        </w:rPr>
      </w:pPr>
      <w:r>
        <w:rPr>
          <w:sz w:val="24"/>
        </w:rPr>
      </w:r>
    </w:p>
    <w:p>
      <w:pPr>
        <w:pStyle w:val="Normal"/>
        <w:jc w:val="both"/>
        <w:rPr>
          <w:sz w:val="24"/>
        </w:rPr>
      </w:pPr>
      <w:r>
        <w:rPr>
          <w:sz w:val="24"/>
        </w:rPr>
        <w:t>Due to the high capital costs of new generation and the relatively small amount of generation capacity, EECs may provide a valuable source for green power products.  The Team believes adding EECs would expand green power sales, as well as the number and size of renewable generation and energy efficiency projects.  While it is too early to identify a real gauge of market demand for green power products, it is important to note the number of oversubscribed green pricing programs throughout the country.  This oversubscription is also indicative of the struggles utilities and marketers face in finding green power supplies in the early stages of a market.</w:t>
      </w:r>
      <w:r>
        <w:rPr>
          <w:b/>
          <w:sz w:val="24"/>
        </w:rPr>
        <w:t xml:space="preserve">  </w:t>
      </w:r>
    </w:p>
    <w:p>
      <w:pPr>
        <w:pStyle w:val="NormalWeb"/>
        <w:widowControl/>
        <w:spacing w:before="0" w:after="0"/>
        <w:jc w:val="both"/>
        <w:rPr>
          <w:sz w:val="24"/>
        </w:rPr>
      </w:pPr>
      <w:r>
        <w:rPr>
          <w:sz w:val="24"/>
        </w:rPr>
      </w:r>
    </w:p>
    <w:p>
      <w:pPr>
        <w:pStyle w:val="Heading1"/>
        <w:widowControl/>
        <w:ind w:hanging="0" w:start="0"/>
        <w:jc w:val="both"/>
        <w:rPr/>
      </w:pPr>
      <w:r>
        <w:rPr/>
        <w:t>Environmental Benefits</w:t>
      </w:r>
    </w:p>
    <w:p>
      <w:pPr>
        <w:pStyle w:val="BodyText2"/>
        <w:jc w:val="both"/>
        <w:rPr/>
      </w:pPr>
      <w:r>
        <w:rPr/>
        <w:t>Energy efficiency can complement the environmental gains made in the renewable energy arena through the sale of Green-e certified green power products. By offering a monetary value for the environmental benefits of energy efficiency projects, EECs should increase demand for and investment in energy efficiency projects.  By increasing the investment in energy efficiency projects and reducing the demand for energy, the Team believes that Pennsylvania, its neighbors, and the global climate will gain environmental benefits.</w:t>
      </w:r>
    </w:p>
    <w:p>
      <w:pPr>
        <w:pStyle w:val="Normal"/>
        <w:jc w:val="both"/>
        <w:rPr>
          <w:sz w:val="24"/>
        </w:rPr>
      </w:pPr>
      <w:r>
        <w:rPr>
          <w:sz w:val="24"/>
        </w:rPr>
        <w:t xml:space="preserve"> </w:t>
      </w:r>
    </w:p>
    <w:p>
      <w:pPr>
        <w:pStyle w:val="Normal"/>
        <w:jc w:val="both"/>
        <w:rPr>
          <w:sz w:val="24"/>
        </w:rPr>
      </w:pPr>
      <w:r>
        <w:rPr>
          <w:sz w:val="24"/>
        </w:rPr>
        <w:t xml:space="preserve">The environmental benefits of an EEC Program are the most important reason to initiate a Pennsylvania program.  These environmental benefits include:  </w:t>
      </w:r>
    </w:p>
    <w:p>
      <w:pPr>
        <w:pStyle w:val="Normal"/>
        <w:jc w:val="both"/>
        <w:rPr>
          <w:sz w:val="24"/>
        </w:rPr>
      </w:pPr>
      <w:r>
        <w:rPr>
          <w:sz w:val="24"/>
        </w:rPr>
      </w:r>
    </w:p>
    <w:p>
      <w:pPr>
        <w:pStyle w:val="Normal"/>
        <w:numPr>
          <w:ilvl w:val="0"/>
          <w:numId w:val="2"/>
        </w:numPr>
        <w:tabs>
          <w:tab w:val="left" w:pos="720" w:leader="none"/>
        </w:tabs>
        <w:rPr>
          <w:sz w:val="24"/>
        </w:rPr>
      </w:pPr>
      <w:r>
        <w:rPr>
          <w:sz w:val="24"/>
        </w:rPr>
        <w:t>Reduction of emissions that have regional impacts such as sulfur dioxide and nitrogen dioxide;</w:t>
      </w:r>
    </w:p>
    <w:p>
      <w:pPr>
        <w:pStyle w:val="Normal"/>
        <w:numPr>
          <w:ilvl w:val="0"/>
          <w:numId w:val="2"/>
        </w:numPr>
        <w:tabs>
          <w:tab w:val="clear" w:pos="720"/>
          <w:tab w:val="left" w:pos="360" w:leader="none"/>
        </w:tabs>
        <w:ind w:hanging="0" w:start="360" w:end="0"/>
        <w:rPr>
          <w:sz w:val="24"/>
        </w:rPr>
      </w:pPr>
      <w:r>
        <w:rPr>
          <w:sz w:val="24"/>
        </w:rPr>
        <w:t>Reduction of emissions that have global impacts such as carbon dioxide; and</w:t>
      </w:r>
    </w:p>
    <w:p>
      <w:pPr>
        <w:pStyle w:val="Normal"/>
        <w:numPr>
          <w:ilvl w:val="0"/>
          <w:numId w:val="2"/>
        </w:numPr>
        <w:tabs>
          <w:tab w:val="left" w:pos="720" w:leader="none"/>
        </w:tabs>
        <w:rPr>
          <w:sz w:val="24"/>
        </w:rPr>
      </w:pPr>
      <w:r>
        <w:rPr>
          <w:sz w:val="24"/>
        </w:rPr>
        <w:t>Reduction of the need to construct new power plants and associated transmission and distribution systems.</w:t>
      </w:r>
    </w:p>
    <w:p>
      <w:pPr>
        <w:pStyle w:val="Normal"/>
        <w:numPr>
          <w:ilvl w:val="0"/>
          <w:numId w:val="0"/>
        </w:numPr>
        <w:ind w:hanging="0" w:start="0"/>
        <w:rPr>
          <w:sz w:val="24"/>
        </w:rPr>
      </w:pPr>
      <w:r>
        <w:rPr>
          <w:sz w:val="24"/>
        </w:rPr>
      </w:r>
    </w:p>
    <w:p>
      <w:pPr>
        <w:pStyle w:val="Normal"/>
        <w:numPr>
          <w:ilvl w:val="0"/>
          <w:numId w:val="0"/>
        </w:numPr>
        <w:ind w:hanging="0" w:start="0"/>
        <w:jc w:val="both"/>
        <w:rPr/>
      </w:pPr>
      <w:r>
        <w:rPr>
          <w:sz w:val="24"/>
        </w:rPr>
        <w:t>Efforts to encourage energy efficiency are of paramount importance in order to deter the construction of additional conventional (polluting) electricity plants.</w:t>
      </w:r>
      <w:r>
        <w:rPr>
          <w:rStyle w:val="FootnoteCharacters"/>
          <w:rStyle w:val="FootnoteReference"/>
          <w:sz w:val="24"/>
        </w:rPr>
        <w:footnoteReference w:id="14"/>
      </w:r>
      <w:r>
        <w:rPr>
          <w:sz w:val="24"/>
        </w:rPr>
        <w:t xml:space="preserve">  The importance of new generation and reducing demand has been illustrated in western markets, and particularly in California, in 2000.</w:t>
      </w:r>
      <w:r>
        <w:rPr>
          <w:rStyle w:val="FootnoteCharacters"/>
          <w:rStyle w:val="FootnoteReference"/>
          <w:sz w:val="24"/>
        </w:rPr>
        <w:footnoteReference w:id="15"/>
      </w:r>
      <w:r>
        <w:rPr>
          <w:sz w:val="24"/>
        </w:rPr>
        <w:t xml:space="preserve">  Another benefit of a Pennsylvania program is that it could serve as a template for a national EEC</w:t>
      </w:r>
      <w:r>
        <w:rPr/>
        <w:t xml:space="preserve"> </w:t>
      </w:r>
      <w:r>
        <w:rPr>
          <w:sz w:val="24"/>
        </w:rPr>
        <w:t>program.</w:t>
      </w:r>
    </w:p>
    <w:p>
      <w:pPr>
        <w:pStyle w:val="Normal"/>
        <w:numPr>
          <w:ilvl w:val="0"/>
          <w:numId w:val="0"/>
        </w:numPr>
        <w:ind w:hanging="0" w:start="0"/>
        <w:jc w:val="both"/>
        <w:rPr>
          <w:sz w:val="24"/>
        </w:rPr>
      </w:pPr>
      <w:r>
        <w:rPr>
          <w:sz w:val="24"/>
        </w:rPr>
      </w:r>
    </w:p>
    <w:p>
      <w:pPr>
        <w:pStyle w:val="Normal"/>
        <w:numPr>
          <w:ilvl w:val="0"/>
          <w:numId w:val="0"/>
        </w:numPr>
        <w:ind w:hanging="0" w:start="0"/>
        <w:jc w:val="both"/>
        <w:rPr>
          <w:sz w:val="24"/>
        </w:rPr>
      </w:pPr>
      <w:r>
        <w:rPr>
          <w:sz w:val="24"/>
        </w:rPr>
      </w:r>
    </w:p>
    <w:p>
      <w:pPr>
        <w:pStyle w:val="Normal"/>
        <w:numPr>
          <w:ilvl w:val="0"/>
          <w:numId w:val="0"/>
        </w:numPr>
        <w:ind w:hanging="0" w:start="0"/>
        <w:jc w:val="both"/>
        <w:rPr>
          <w:b/>
          <w:sz w:val="24"/>
        </w:rPr>
      </w:pPr>
      <w:r>
        <w:rPr>
          <w:sz w:val="24"/>
        </w:rPr>
        <w:t xml:space="preserve">One way to quantify the environmental benefit of energy efficiency is to quantify the avoided air emissions.  Although a number of emission factors exist to measure the avoided emissions, one standard available is from the Mid-Atlantic Area Council (MAAC) region, as designated by the North American Electric Reliability Council (NERC).  Since power is typically sold within a power pool, rather than within a state, this regional standard could be used to measure emission reductions in Pennsylvania: </w:t>
      </w:r>
      <w:r>
        <w:br w:type="page"/>
      </w:r>
    </w:p>
    <w:p>
      <w:pPr>
        <w:pStyle w:val="Heading3"/>
        <w:widowControl/>
        <w:numPr>
          <w:ilvl w:val="0"/>
          <w:numId w:val="0"/>
        </w:numPr>
        <w:ind w:hanging="0" w:start="0"/>
        <w:rPr/>
      </w:pPr>
      <w:r>
        <w:rPr/>
        <w:t>Table 3: Mid-Atlantic Emissions per Megawatt-hour</w:t>
      </w:r>
    </w:p>
    <w:p>
      <w:pPr>
        <w:pStyle w:val="NormalWeb"/>
        <w:widowControl/>
        <w:numPr>
          <w:ilvl w:val="0"/>
          <w:numId w:val="0"/>
        </w:numPr>
        <w:spacing w:before="0" w:after="0"/>
        <w:ind w:hanging="0" w:start="0"/>
        <w:rPr/>
      </w:pPr>
      <w:r>
        <w:rPr/>
      </w:r>
    </w:p>
    <w:tbl>
      <w:tblPr>
        <w:tblW w:w="5904" w:type="dxa"/>
        <w:jc w:val="center"/>
        <w:tblInd w:w="0" w:type="dxa"/>
        <w:tblLayout w:type="fixed"/>
        <w:tblCellMar>
          <w:top w:w="0" w:type="dxa"/>
          <w:start w:w="108" w:type="dxa"/>
          <w:bottom w:w="0" w:type="dxa"/>
          <w:end w:w="108" w:type="dxa"/>
        </w:tblCellMar>
      </w:tblPr>
      <w:tblGrid>
        <w:gridCol w:w="2952"/>
        <w:gridCol w:w="2952"/>
      </w:tblGrid>
      <w:tr>
        <w:trPr/>
        <w:tc>
          <w:tcPr>
            <w:tcW w:w="2952" w:type="dxa"/>
            <w:tcBorders>
              <w:top w:val="single" w:sz="6" w:space="0" w:color="000000"/>
              <w:start w:val="single" w:sz="6" w:space="0" w:color="000000"/>
              <w:bottom w:val="single" w:sz="6" w:space="0" w:color="000000"/>
              <w:end w:val="single" w:sz="6" w:space="0" w:color="000000"/>
            </w:tcBorders>
          </w:tcPr>
          <w:p>
            <w:pPr>
              <w:pStyle w:val="Heading1"/>
              <w:widowControl/>
              <w:numPr>
                <w:ilvl w:val="0"/>
                <w:numId w:val="0"/>
              </w:numPr>
              <w:ind w:hanging="0" w:start="0"/>
              <w:rPr/>
            </w:pPr>
            <w:r>
              <w:rPr/>
              <w:t>Mid-Atlantic Region</w:t>
            </w:r>
          </w:p>
        </w:tc>
        <w:tc>
          <w:tcPr>
            <w:tcW w:w="2952"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jc w:val="center"/>
              <w:rPr/>
            </w:pPr>
            <w:r>
              <w:rPr/>
              <w:t>Pounds/MWh</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pPr>
            <w:r>
              <w:rPr/>
              <w:t>Carbon Dioxide</w:t>
            </w:r>
          </w:p>
        </w:tc>
        <w:tc>
          <w:tcPr>
            <w:tcW w:w="2952"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jc w:val="center"/>
              <w:rPr/>
            </w:pPr>
            <w:r>
              <w:rPr/>
              <w:t>1,201</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pPr>
            <w:r>
              <w:rPr/>
              <w:t>Nitrogen Dioxide</w:t>
            </w:r>
          </w:p>
        </w:tc>
        <w:tc>
          <w:tcPr>
            <w:tcW w:w="2952"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jc w:val="center"/>
              <w:rPr/>
            </w:pPr>
            <w:r>
              <w:rPr/>
              <w:t>2.91</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rPr/>
            </w:pPr>
            <w:r>
              <w:rPr/>
              <w:t>Sulfur Dioxide</w:t>
            </w:r>
          </w:p>
        </w:tc>
        <w:tc>
          <w:tcPr>
            <w:tcW w:w="2952"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jc w:val="center"/>
              <w:rPr/>
            </w:pPr>
            <w:r>
              <w:rPr/>
              <w:t>10.4</w:t>
            </w:r>
          </w:p>
        </w:tc>
      </w:tr>
    </w:tbl>
    <w:p>
      <w:pPr>
        <w:pStyle w:val="Normal"/>
        <w:numPr>
          <w:ilvl w:val="0"/>
          <w:numId w:val="0"/>
        </w:numPr>
        <w:ind w:hanging="0" w:start="0"/>
        <w:rPr>
          <w:sz w:val="24"/>
        </w:rPr>
      </w:pPr>
      <w:r>
        <w:rPr>
          <w:sz w:val="24"/>
        </w:rPr>
      </w:r>
    </w:p>
    <w:p>
      <w:pPr>
        <w:pStyle w:val="Normal"/>
        <w:numPr>
          <w:ilvl w:val="0"/>
          <w:numId w:val="0"/>
        </w:numPr>
        <w:ind w:hanging="0" w:start="0"/>
        <w:jc w:val="both"/>
        <w:rPr/>
      </w:pPr>
      <w:r>
        <w:rPr>
          <w:sz w:val="24"/>
        </w:rPr>
        <w:t>Avoided air emissions could also be quantified using emission factors from Energy Information Administration carbon data,</w:t>
      </w:r>
      <w:r>
        <w:rPr>
          <w:rStyle w:val="FootnoteCharacters"/>
          <w:rStyle w:val="FootnoteReference"/>
          <w:sz w:val="24"/>
        </w:rPr>
        <w:footnoteReference w:id="16"/>
      </w:r>
      <w:r>
        <w:rPr>
          <w:sz w:val="24"/>
        </w:rPr>
        <w:t xml:space="preserve"> the Natural Resource Defense Counsel’s utility-by-utility report of emissions per megawatt-hour,</w:t>
      </w:r>
      <w:r>
        <w:rPr>
          <w:rStyle w:val="FootnoteCharacters"/>
          <w:rStyle w:val="FootnoteReference"/>
          <w:sz w:val="24"/>
        </w:rPr>
        <w:footnoteReference w:id="17"/>
      </w:r>
      <w:r>
        <w:rPr>
          <w:sz w:val="24"/>
        </w:rPr>
        <w:t xml:space="preserve"> the U.S. Environmental Protection Agency’s composite data in the </w:t>
      </w:r>
      <w:r>
        <w:rPr>
          <w:i/>
          <w:sz w:val="24"/>
        </w:rPr>
        <w:t xml:space="preserve">U.S. Emissions Inventory – 2000, </w:t>
      </w:r>
      <w:r>
        <w:rPr>
          <w:sz w:val="24"/>
        </w:rPr>
        <w:t>or PACE Energy Project’s Power Scorecard.  The Team believes that stakeholders will have to collaboratively develop an agreed upon data source for emission factors.</w:t>
      </w:r>
    </w:p>
    <w:p>
      <w:pPr>
        <w:pStyle w:val="NormalWeb"/>
        <w:widowControl/>
        <w:numPr>
          <w:ilvl w:val="0"/>
          <w:numId w:val="0"/>
        </w:numPr>
        <w:spacing w:before="0" w:after="0"/>
        <w:ind w:hanging="0" w:start="0"/>
        <w:jc w:val="both"/>
        <w:rPr>
          <w:sz w:val="24"/>
        </w:rPr>
      </w:pPr>
      <w:r>
        <w:rPr>
          <w:sz w:val="24"/>
        </w:rPr>
      </w:r>
    </w:p>
    <w:p>
      <w:pPr>
        <w:pStyle w:val="Normal"/>
        <w:numPr>
          <w:ilvl w:val="0"/>
          <w:numId w:val="0"/>
        </w:numPr>
        <w:ind w:hanging="0" w:start="0"/>
        <w:jc w:val="both"/>
        <w:rPr>
          <w:sz w:val="24"/>
        </w:rPr>
      </w:pPr>
      <w:r>
        <w:rPr>
          <w:sz w:val="24"/>
        </w:rPr>
        <w:t>The information presented in this section is not intended to provide an in-depth environmental analysis of EECs, since it would be premature prior to establishing an agreed-upon method and data source.  Rather, the intent is to illustrate in general how electricity use has environmental impacts, and how those impacts can be mitigated by renewable energy and energy efficiency.</w:t>
      </w:r>
    </w:p>
    <w:p>
      <w:pPr>
        <w:pStyle w:val="Normal"/>
        <w:numPr>
          <w:ilvl w:val="0"/>
          <w:numId w:val="0"/>
        </w:numPr>
        <w:ind w:hanging="0" w:start="0"/>
        <w:jc w:val="both"/>
        <w:rPr>
          <w:sz w:val="24"/>
        </w:rPr>
      </w:pPr>
      <w:r>
        <w:rPr>
          <w:sz w:val="24"/>
        </w:rPr>
      </w:r>
    </w:p>
    <w:p>
      <w:pPr>
        <w:pStyle w:val="Normal"/>
        <w:numPr>
          <w:ilvl w:val="0"/>
          <w:numId w:val="0"/>
        </w:numPr>
        <w:ind w:hanging="0" w:start="0"/>
        <w:rPr>
          <w:b/>
          <w:sz w:val="24"/>
        </w:rPr>
      </w:pPr>
      <w:r>
        <w:rPr>
          <w:b/>
          <w:sz w:val="24"/>
        </w:rPr>
        <w:t>III.</w:t>
        <w:tab/>
        <w:t>Designing an Energy Efficiency Credit Program</w:t>
      </w:r>
    </w:p>
    <w:p>
      <w:pPr>
        <w:pStyle w:val="Normal"/>
        <w:numPr>
          <w:ilvl w:val="0"/>
          <w:numId w:val="0"/>
        </w:numPr>
        <w:ind w:hanging="0" w:start="0"/>
        <w:rPr>
          <w:b/>
          <w:sz w:val="24"/>
        </w:rPr>
      </w:pPr>
      <w:r>
        <w:rPr>
          <w:b/>
          <w:sz w:val="24"/>
        </w:rPr>
      </w:r>
    </w:p>
    <w:p>
      <w:pPr>
        <w:pStyle w:val="BodyText"/>
        <w:widowControl/>
        <w:numPr>
          <w:ilvl w:val="0"/>
          <w:numId w:val="0"/>
        </w:numPr>
        <w:ind w:hanging="0" w:start="0"/>
        <w:jc w:val="both"/>
        <w:rPr/>
      </w:pPr>
      <w:r>
        <w:rPr/>
        <w:t>There are a number of key elements in the design of a C&amp;I EEC Program for Pennsylvania.  Several operational issues need to be addressed to implement the program easily and effectively, and to reduce the transaction costs that will affect the overall cost of the program.  Operational issues include:</w:t>
      </w:r>
    </w:p>
    <w:p>
      <w:pPr>
        <w:pStyle w:val="BodyText"/>
        <w:widowControl/>
        <w:numPr>
          <w:ilvl w:val="0"/>
          <w:numId w:val="0"/>
        </w:numPr>
        <w:ind w:hanging="0" w:start="0"/>
        <w:jc w:val="both"/>
        <w:rPr/>
      </w:pPr>
      <w:r>
        <w:rPr/>
      </w:r>
    </w:p>
    <w:p>
      <w:pPr>
        <w:pStyle w:val="BodyText"/>
        <w:widowControl/>
        <w:numPr>
          <w:ilvl w:val="0"/>
          <w:numId w:val="2"/>
        </w:numPr>
        <w:tabs>
          <w:tab w:val="clear" w:pos="720"/>
          <w:tab w:val="left" w:pos="360" w:leader="none"/>
        </w:tabs>
        <w:jc w:val="start"/>
        <w:rPr/>
      </w:pPr>
      <w:r>
        <w:rPr/>
        <w:t>Program mechanics, or how EECs are created and used;</w:t>
      </w:r>
    </w:p>
    <w:p>
      <w:pPr>
        <w:pStyle w:val="BodyText"/>
        <w:widowControl/>
        <w:numPr>
          <w:ilvl w:val="0"/>
          <w:numId w:val="2"/>
        </w:numPr>
        <w:tabs>
          <w:tab w:val="clear" w:pos="720"/>
          <w:tab w:val="left" w:pos="360" w:leader="none"/>
        </w:tabs>
        <w:jc w:val="start"/>
        <w:rPr/>
      </w:pPr>
      <w:r>
        <w:rPr/>
        <w:t>Measurement and verification (M&amp;V) of EECs;</w:t>
      </w:r>
    </w:p>
    <w:p>
      <w:pPr>
        <w:pStyle w:val="BodyText"/>
        <w:widowControl/>
        <w:numPr>
          <w:ilvl w:val="0"/>
          <w:numId w:val="2"/>
        </w:numPr>
        <w:tabs>
          <w:tab w:val="clear" w:pos="720"/>
          <w:tab w:val="left" w:pos="360" w:leader="none"/>
        </w:tabs>
        <w:jc w:val="start"/>
        <w:rPr/>
      </w:pPr>
      <w:r>
        <w:rPr/>
        <w:t>The value of EECs;</w:t>
      </w:r>
    </w:p>
    <w:p>
      <w:pPr>
        <w:pStyle w:val="BodyText"/>
        <w:widowControl/>
        <w:numPr>
          <w:ilvl w:val="0"/>
          <w:numId w:val="2"/>
        </w:numPr>
        <w:tabs>
          <w:tab w:val="clear" w:pos="720"/>
          <w:tab w:val="left" w:pos="360" w:leader="none"/>
        </w:tabs>
        <w:jc w:val="start"/>
        <w:rPr/>
      </w:pPr>
      <w:r>
        <w:rPr/>
        <w:t xml:space="preserve">How transactions will occur; </w:t>
      </w:r>
    </w:p>
    <w:p>
      <w:pPr>
        <w:pStyle w:val="BodyText"/>
        <w:widowControl/>
        <w:numPr>
          <w:ilvl w:val="0"/>
          <w:numId w:val="2"/>
        </w:numPr>
        <w:tabs>
          <w:tab w:val="clear" w:pos="720"/>
          <w:tab w:val="left" w:pos="360" w:leader="none"/>
        </w:tabs>
        <w:jc w:val="start"/>
        <w:rPr/>
      </w:pPr>
      <w:r>
        <w:rPr/>
        <w:t>The lifetime of credits used in the program;</w:t>
      </w:r>
    </w:p>
    <w:p>
      <w:pPr>
        <w:pStyle w:val="BodyText"/>
        <w:widowControl/>
        <w:numPr>
          <w:ilvl w:val="0"/>
          <w:numId w:val="2"/>
        </w:numPr>
        <w:tabs>
          <w:tab w:val="clear" w:pos="720"/>
          <w:tab w:val="left" w:pos="360" w:leader="none"/>
        </w:tabs>
        <w:jc w:val="start"/>
        <w:rPr/>
      </w:pPr>
      <w:r>
        <w:rPr/>
        <w:t xml:space="preserve">What percentage of a Green-e certified renewable power products the EECs will comprise; and </w:t>
      </w:r>
    </w:p>
    <w:p>
      <w:pPr>
        <w:pStyle w:val="BodyText"/>
        <w:widowControl/>
        <w:numPr>
          <w:ilvl w:val="0"/>
          <w:numId w:val="2"/>
        </w:numPr>
        <w:tabs>
          <w:tab w:val="clear" w:pos="720"/>
          <w:tab w:val="left" w:pos="360" w:leader="none"/>
        </w:tabs>
        <w:jc w:val="start"/>
        <w:rPr/>
      </w:pPr>
      <w:r>
        <w:rPr/>
        <w:t>Ownership of the environmental attributes.</w:t>
      </w:r>
    </w:p>
    <w:p>
      <w:pPr>
        <w:pStyle w:val="BodyText"/>
        <w:widowControl/>
        <w:jc w:val="start"/>
        <w:rPr/>
      </w:pPr>
      <w:r>
        <w:rPr/>
      </w:r>
    </w:p>
    <w:p>
      <w:pPr>
        <w:pStyle w:val="Normal"/>
        <w:jc w:val="both"/>
        <w:rPr>
          <w:sz w:val="24"/>
        </w:rPr>
      </w:pPr>
      <w:r>
        <w:rPr>
          <w:sz w:val="24"/>
        </w:rPr>
        <w:t>In addition to these operational issues, several administrative and oversight issues must be addressed, including: (1) what actions or penalties will occur when EECs cannot be delivered as promised; (2) how new construction of super energy efficient buildings will be included in the program; (3) who will manage the EEC Program; and, (4) when the program will start.</w:t>
      </w:r>
    </w:p>
    <w:p>
      <w:pPr>
        <w:pStyle w:val="Normal"/>
        <w:jc w:val="both"/>
        <w:rPr>
          <w:sz w:val="24"/>
        </w:rPr>
      </w:pPr>
      <w:r>
        <w:rPr>
          <w:sz w:val="24"/>
        </w:rPr>
      </w:r>
    </w:p>
    <w:p>
      <w:pPr>
        <w:pStyle w:val="NormalWeb"/>
        <w:widowControl/>
        <w:spacing w:before="0" w:after="0"/>
        <w:rPr>
          <w:b/>
        </w:rPr>
      </w:pPr>
      <w:r>
        <w:rPr>
          <w:b/>
        </w:rPr>
        <w:t>Fundamental Program Mechanics</w:t>
      </w:r>
    </w:p>
    <w:p>
      <w:pPr>
        <w:pStyle w:val="Normal"/>
        <w:jc w:val="both"/>
        <w:rPr>
          <w:sz w:val="24"/>
        </w:rPr>
      </w:pPr>
      <w:r>
        <w:rPr>
          <w:sz w:val="24"/>
        </w:rPr>
        <w:t xml:space="preserve">Buyers, sellers and the public must easily understand the EEC Program and how a EECs would work.  Without transparency and economic efficiency, the program is not likely to succeed. </w:t>
      </w:r>
    </w:p>
    <w:p>
      <w:pPr>
        <w:pStyle w:val="Normal"/>
        <w:jc w:val="both"/>
        <w:rPr>
          <w:sz w:val="24"/>
        </w:rPr>
      </w:pPr>
      <w:r>
        <w:rPr>
          <w:sz w:val="24"/>
        </w:rPr>
      </w:r>
    </w:p>
    <w:p>
      <w:pPr>
        <w:pStyle w:val="Normal"/>
        <w:jc w:val="both"/>
        <w:rPr>
          <w:sz w:val="24"/>
        </w:rPr>
      </w:pPr>
      <w:r>
        <w:rPr>
          <w:sz w:val="24"/>
        </w:rPr>
        <w:t xml:space="preserve">The cornerstone of our proposed approach is that EECs will be produced, harvested and used based on realized savings at commercial and industrial facilities.  Actual savings will be measured annually to ensure that anticipated savings are realized.  </w:t>
      </w:r>
    </w:p>
    <w:p>
      <w:pPr>
        <w:pStyle w:val="Normal"/>
        <w:rPr>
          <w:b/>
          <w:sz w:val="24"/>
        </w:rPr>
      </w:pPr>
      <w:r>
        <w:rPr>
          <w:b/>
          <w:sz w:val="24"/>
        </w:rPr>
      </w:r>
    </w:p>
    <w:p>
      <w:pPr>
        <w:pStyle w:val="Heading5"/>
        <w:ind w:hanging="0" w:start="0"/>
        <w:jc w:val="both"/>
        <w:rPr>
          <w:color w:val="auto"/>
        </w:rPr>
      </w:pPr>
      <w:r>
        <w:rPr>
          <w:color w:val="auto"/>
        </w:rPr>
        <w:t>Wholesale: Harvester</w:t>
      </w:r>
    </w:p>
    <w:p>
      <w:pPr>
        <w:pStyle w:val="Normal"/>
        <w:jc w:val="both"/>
        <w:rPr>
          <w:sz w:val="24"/>
        </w:rPr>
      </w:pPr>
      <w:r>
        <w:rPr>
          <w:sz w:val="24"/>
        </w:rPr>
        <w:t>While various market participants can harvest the EECs, we refer to this role as the “Wholesale Harvester”.   An EEC Wholesale Harvester’s role is similar to that of a renewable generator because the Wholesale Harvester is creating and selling the environmental product. The ownership of the EECs is established in the contractual arrangement between the energy service company and the customer.  Table 4 below describes the steps in producing and selling an EEC product.</w:t>
      </w:r>
    </w:p>
    <w:p>
      <w:pPr>
        <w:pStyle w:val="Normal"/>
        <w:rPr>
          <w:sz w:val="24"/>
        </w:rPr>
      </w:pPr>
      <w:r>
        <w:rPr>
          <w:sz w:val="24"/>
        </w:rPr>
      </w:r>
    </w:p>
    <w:p>
      <w:pPr>
        <w:pStyle w:val="Heading3"/>
        <w:widowControl/>
        <w:ind w:hanging="0" w:start="0"/>
        <w:rPr/>
      </w:pPr>
      <w:r>
        <w:rPr/>
        <w:t>Table 4: Steps to Creating EECs</w:t>
      </w:r>
    </w:p>
    <w:tbl>
      <w:tblPr>
        <w:tblW w:w="9468" w:type="dxa"/>
        <w:jc w:val="start"/>
        <w:tblInd w:w="0" w:type="dxa"/>
        <w:tblLayout w:type="fixed"/>
        <w:tblCellMar>
          <w:top w:w="0" w:type="dxa"/>
          <w:start w:w="108" w:type="dxa"/>
          <w:bottom w:w="0" w:type="dxa"/>
          <w:end w:w="108" w:type="dxa"/>
        </w:tblCellMar>
      </w:tblPr>
      <w:tblGrid>
        <w:gridCol w:w="1008"/>
        <w:gridCol w:w="2700"/>
        <w:gridCol w:w="5760"/>
      </w:tblGrid>
      <w:tr>
        <w:trPr/>
        <w:tc>
          <w:tcPr>
            <w:tcW w:w="1008" w:type="dxa"/>
            <w:tcBorders>
              <w:top w:val="single" w:sz="6" w:space="0" w:color="000000"/>
              <w:start w:val="single" w:sz="6" w:space="0" w:color="000000"/>
              <w:bottom w:val="single" w:sz="6" w:space="0" w:color="000000"/>
              <w:end w:val="single" w:sz="6" w:space="0" w:color="000000"/>
            </w:tcBorders>
          </w:tcPr>
          <w:p>
            <w:pPr>
              <w:pStyle w:val="Heading1"/>
              <w:widowControl/>
              <w:ind w:hanging="0" w:start="0"/>
              <w:rPr>
                <w:sz w:val="20"/>
              </w:rPr>
            </w:pPr>
            <w:r>
              <w:rPr>
                <w:sz w:val="20"/>
              </w:rPr>
              <w:t>Step 1</w:t>
            </w:r>
          </w:p>
        </w:tc>
        <w:tc>
          <w:tcPr>
            <w:tcW w:w="2700" w:type="dxa"/>
            <w:tcBorders>
              <w:top w:val="single" w:sz="6" w:space="0" w:color="000000"/>
              <w:start w:val="single" w:sz="6" w:space="0" w:color="000000"/>
              <w:bottom w:val="single" w:sz="6" w:space="0" w:color="000000"/>
              <w:end w:val="single" w:sz="6" w:space="0" w:color="000000"/>
            </w:tcBorders>
          </w:tcPr>
          <w:p>
            <w:pPr>
              <w:pStyle w:val="Normal"/>
              <w:rPr/>
            </w:pPr>
            <w:r>
              <w:rPr/>
              <w:t>Contract with Customer to install energy efficiency projects</w:t>
            </w:r>
          </w:p>
        </w:tc>
        <w:tc>
          <w:tcPr>
            <w:tcW w:w="5760" w:type="dxa"/>
            <w:tcBorders>
              <w:top w:val="single" w:sz="6" w:space="0" w:color="000000"/>
              <w:start w:val="single" w:sz="6" w:space="0" w:color="000000"/>
              <w:bottom w:val="single" w:sz="6" w:space="0" w:color="000000"/>
              <w:end w:val="single" w:sz="6" w:space="0" w:color="000000"/>
            </w:tcBorders>
          </w:tcPr>
          <w:p>
            <w:pPr>
              <w:pStyle w:val="Normal"/>
              <w:rPr/>
            </w:pPr>
            <w:r>
              <w:rPr/>
              <w:t>The energy service company signs contract to install commercial and/or industrial energy efficiency projects.  The contract shall clearly outline the work to be done by the energy service company, and establish ownership of the environmental benefits resulting from the project.</w:t>
            </w:r>
          </w:p>
        </w:tc>
      </w:tr>
      <w:tr>
        <w:trPr/>
        <w:tc>
          <w:tcPr>
            <w:tcW w:w="1008" w:type="dxa"/>
            <w:tcBorders>
              <w:top w:val="single" w:sz="6" w:space="0" w:color="000000"/>
              <w:start w:val="single" w:sz="6" w:space="0" w:color="000000"/>
              <w:bottom w:val="single" w:sz="6" w:space="0" w:color="000000"/>
              <w:end w:val="single" w:sz="6" w:space="0" w:color="000000"/>
            </w:tcBorders>
          </w:tcPr>
          <w:p>
            <w:pPr>
              <w:pStyle w:val="Normal"/>
              <w:rPr>
                <w:b/>
              </w:rPr>
            </w:pPr>
            <w:r>
              <w:rPr>
                <w:b/>
              </w:rPr>
              <w:t>Step 2</w:t>
            </w:r>
          </w:p>
        </w:tc>
        <w:tc>
          <w:tcPr>
            <w:tcW w:w="2700" w:type="dxa"/>
            <w:tcBorders>
              <w:top w:val="single" w:sz="6" w:space="0" w:color="000000"/>
              <w:start w:val="single" w:sz="6" w:space="0" w:color="000000"/>
              <w:bottom w:val="single" w:sz="6" w:space="0" w:color="000000"/>
              <w:end w:val="single" w:sz="6" w:space="0" w:color="000000"/>
            </w:tcBorders>
          </w:tcPr>
          <w:p>
            <w:pPr>
              <w:pStyle w:val="Normal"/>
              <w:rPr/>
            </w:pPr>
            <w:r>
              <w:rPr/>
              <w:t>Establish Baseline and Implementation of Energy Efficiency Projects</w:t>
            </w:r>
          </w:p>
        </w:tc>
        <w:tc>
          <w:tcPr>
            <w:tcW w:w="5760" w:type="dxa"/>
            <w:tcBorders>
              <w:top w:val="single" w:sz="6" w:space="0" w:color="000000"/>
              <w:start w:val="single" w:sz="6" w:space="0" w:color="000000"/>
              <w:bottom w:val="single" w:sz="6" w:space="0" w:color="000000"/>
              <w:end w:val="single" w:sz="6" w:space="0" w:color="000000"/>
            </w:tcBorders>
          </w:tcPr>
          <w:p>
            <w:pPr>
              <w:pStyle w:val="Normal"/>
              <w:rPr/>
            </w:pPr>
            <w:r>
              <w:rPr/>
              <w:t>The energy service company establishes the baseline through at least one-year of historical energy usage data prior to installation</w:t>
            </w:r>
            <w:r>
              <w:rPr>
                <w:rStyle w:val="FootnoteCharacters"/>
                <w:rStyle w:val="FootnoteReference"/>
              </w:rPr>
              <w:footnoteReference w:id="18"/>
            </w:r>
            <w:r>
              <w:rPr/>
              <w:t xml:space="preserve"> of efficiency projects.</w:t>
            </w:r>
          </w:p>
        </w:tc>
      </w:tr>
      <w:tr>
        <w:trPr/>
        <w:tc>
          <w:tcPr>
            <w:tcW w:w="1008" w:type="dxa"/>
            <w:tcBorders>
              <w:top w:val="single" w:sz="6" w:space="0" w:color="000000"/>
              <w:start w:val="single" w:sz="6" w:space="0" w:color="000000"/>
              <w:bottom w:val="single" w:sz="6" w:space="0" w:color="000000"/>
              <w:end w:val="single" w:sz="6" w:space="0" w:color="000000"/>
            </w:tcBorders>
          </w:tcPr>
          <w:p>
            <w:pPr>
              <w:pStyle w:val="Normal"/>
              <w:rPr>
                <w:b/>
              </w:rPr>
            </w:pPr>
            <w:r>
              <w:rPr>
                <w:b/>
              </w:rPr>
              <w:t>Step 3</w:t>
            </w:r>
          </w:p>
        </w:tc>
        <w:tc>
          <w:tcPr>
            <w:tcW w:w="2700" w:type="dxa"/>
            <w:tcBorders>
              <w:top w:val="single" w:sz="6" w:space="0" w:color="000000"/>
              <w:start w:val="single" w:sz="6" w:space="0" w:color="000000"/>
              <w:bottom w:val="single" w:sz="6" w:space="0" w:color="000000"/>
              <w:end w:val="single" w:sz="6" w:space="0" w:color="000000"/>
            </w:tcBorders>
          </w:tcPr>
          <w:p>
            <w:pPr>
              <w:pStyle w:val="Normal"/>
              <w:rPr/>
            </w:pPr>
            <w:r>
              <w:rPr/>
              <w:t>Verification of Anticipated Savings</w:t>
            </w:r>
          </w:p>
        </w:tc>
        <w:tc>
          <w:tcPr>
            <w:tcW w:w="5760" w:type="dxa"/>
            <w:tcBorders>
              <w:top w:val="single" w:sz="6" w:space="0" w:color="000000"/>
              <w:start w:val="single" w:sz="6" w:space="0" w:color="000000"/>
              <w:bottom w:val="single" w:sz="6" w:space="0" w:color="000000"/>
              <w:end w:val="single" w:sz="6" w:space="0" w:color="000000"/>
            </w:tcBorders>
          </w:tcPr>
          <w:p>
            <w:pPr>
              <w:pStyle w:val="Normal"/>
              <w:rPr/>
            </w:pPr>
            <w:r>
              <w:rPr/>
              <w:t>In accordance with IPMVP methodology, the chief engineer from the company completing the work signs document estimating energy savings.</w:t>
            </w:r>
          </w:p>
        </w:tc>
      </w:tr>
      <w:tr>
        <w:trPr/>
        <w:tc>
          <w:tcPr>
            <w:tcW w:w="1008" w:type="dxa"/>
            <w:tcBorders>
              <w:top w:val="single" w:sz="6" w:space="0" w:color="000000"/>
              <w:start w:val="single" w:sz="6" w:space="0" w:color="000000"/>
              <w:bottom w:val="single" w:sz="6" w:space="0" w:color="000000"/>
              <w:end w:val="single" w:sz="6" w:space="0" w:color="000000"/>
            </w:tcBorders>
          </w:tcPr>
          <w:p>
            <w:pPr>
              <w:pStyle w:val="Normal"/>
              <w:rPr>
                <w:b/>
              </w:rPr>
            </w:pPr>
            <w:r>
              <w:rPr>
                <w:b/>
              </w:rPr>
              <w:t>Step 4</w:t>
            </w:r>
          </w:p>
        </w:tc>
        <w:tc>
          <w:tcPr>
            <w:tcW w:w="2700" w:type="dxa"/>
            <w:tcBorders>
              <w:top w:val="single" w:sz="6" w:space="0" w:color="000000"/>
              <w:start w:val="single" w:sz="6" w:space="0" w:color="000000"/>
              <w:bottom w:val="single" w:sz="6" w:space="0" w:color="000000"/>
              <w:end w:val="single" w:sz="6" w:space="0" w:color="000000"/>
            </w:tcBorders>
          </w:tcPr>
          <w:p>
            <w:pPr>
              <w:pStyle w:val="Normal"/>
              <w:rPr/>
            </w:pPr>
            <w:r>
              <w:rPr/>
              <w:t>Energy Services Company Sells EECs</w:t>
            </w:r>
          </w:p>
        </w:tc>
        <w:tc>
          <w:tcPr>
            <w:tcW w:w="5760" w:type="dxa"/>
            <w:tcBorders>
              <w:top w:val="single" w:sz="6" w:space="0" w:color="000000"/>
              <w:start w:val="single" w:sz="6" w:space="0" w:color="000000"/>
              <w:bottom w:val="single" w:sz="6" w:space="0" w:color="000000"/>
              <w:end w:val="single" w:sz="6" w:space="0" w:color="000000"/>
            </w:tcBorders>
          </w:tcPr>
          <w:p>
            <w:pPr>
              <w:pStyle w:val="Normal"/>
              <w:rPr/>
            </w:pPr>
            <w:r>
              <w:rPr/>
              <w:t>The energy service company would immediately be able to sell EECs that could be bundled into Green-e certified green power products.</w:t>
            </w:r>
          </w:p>
        </w:tc>
      </w:tr>
      <w:tr>
        <w:trPr/>
        <w:tc>
          <w:tcPr>
            <w:tcW w:w="1008" w:type="dxa"/>
            <w:tcBorders>
              <w:top w:val="single" w:sz="6" w:space="0" w:color="000000"/>
              <w:start w:val="single" w:sz="6" w:space="0" w:color="000000"/>
              <w:bottom w:val="single" w:sz="6" w:space="0" w:color="000000"/>
              <w:end w:val="single" w:sz="6" w:space="0" w:color="000000"/>
            </w:tcBorders>
          </w:tcPr>
          <w:p>
            <w:pPr>
              <w:pStyle w:val="Normal"/>
              <w:rPr>
                <w:b/>
              </w:rPr>
            </w:pPr>
            <w:r>
              <w:rPr>
                <w:b/>
              </w:rPr>
              <w:t>Step 5</w:t>
            </w:r>
          </w:p>
        </w:tc>
        <w:tc>
          <w:tcPr>
            <w:tcW w:w="2700" w:type="dxa"/>
            <w:tcBorders>
              <w:top w:val="single" w:sz="6" w:space="0" w:color="000000"/>
              <w:start w:val="single" w:sz="6" w:space="0" w:color="000000"/>
              <w:bottom w:val="single" w:sz="6" w:space="0" w:color="000000"/>
              <w:end w:val="single" w:sz="6" w:space="0" w:color="000000"/>
            </w:tcBorders>
          </w:tcPr>
          <w:p>
            <w:pPr>
              <w:pStyle w:val="Normal"/>
              <w:rPr/>
            </w:pPr>
            <w:r>
              <w:rPr/>
              <w:t>Annual Review of Projected versus Actual Savings</w:t>
            </w:r>
          </w:p>
        </w:tc>
        <w:tc>
          <w:tcPr>
            <w:tcW w:w="5760" w:type="dxa"/>
            <w:tcBorders>
              <w:top w:val="single" w:sz="6" w:space="0" w:color="000000"/>
              <w:start w:val="single" w:sz="6" w:space="0" w:color="000000"/>
              <w:bottom w:val="single" w:sz="6" w:space="0" w:color="000000"/>
              <w:end w:val="single" w:sz="6" w:space="0" w:color="000000"/>
            </w:tcBorders>
          </w:tcPr>
          <w:p>
            <w:pPr>
              <w:pStyle w:val="Normal"/>
              <w:rPr/>
            </w:pPr>
            <w:r>
              <w:rPr/>
              <w:t xml:space="preserve">Energy service companies would be required to verify and report actual savings through standard monitoring methods described in the IPMVP.  These savings would be certified via a signature from the chief engineer. </w:t>
            </w:r>
          </w:p>
        </w:tc>
      </w:tr>
      <w:tr>
        <w:trPr/>
        <w:tc>
          <w:tcPr>
            <w:tcW w:w="1008" w:type="dxa"/>
            <w:tcBorders>
              <w:top w:val="single" w:sz="6" w:space="0" w:color="000000"/>
              <w:start w:val="single" w:sz="6" w:space="0" w:color="000000"/>
              <w:bottom w:val="single" w:sz="6" w:space="0" w:color="000000"/>
              <w:end w:val="single" w:sz="6" w:space="0" w:color="000000"/>
            </w:tcBorders>
          </w:tcPr>
          <w:p>
            <w:pPr>
              <w:pStyle w:val="Normal"/>
              <w:rPr>
                <w:b/>
              </w:rPr>
            </w:pPr>
            <w:r>
              <w:rPr>
                <w:b/>
              </w:rPr>
              <w:t>Step 6</w:t>
            </w:r>
          </w:p>
        </w:tc>
        <w:tc>
          <w:tcPr>
            <w:tcW w:w="2700" w:type="dxa"/>
            <w:tcBorders>
              <w:top w:val="single" w:sz="6" w:space="0" w:color="000000"/>
              <w:start w:val="single" w:sz="6" w:space="0" w:color="000000"/>
              <w:bottom w:val="single" w:sz="6" w:space="0" w:color="000000"/>
              <w:end w:val="single" w:sz="6" w:space="0" w:color="000000"/>
            </w:tcBorders>
          </w:tcPr>
          <w:p>
            <w:pPr>
              <w:pStyle w:val="FootnoteText"/>
              <w:widowControl/>
              <w:rPr/>
            </w:pPr>
            <w:r>
              <w:rPr/>
              <w:t>Annual Review</w:t>
            </w:r>
          </w:p>
        </w:tc>
        <w:tc>
          <w:tcPr>
            <w:tcW w:w="5760" w:type="dxa"/>
            <w:tcBorders>
              <w:top w:val="single" w:sz="6" w:space="0" w:color="000000"/>
              <w:start w:val="single" w:sz="6" w:space="0" w:color="000000"/>
              <w:bottom w:val="single" w:sz="6" w:space="0" w:color="000000"/>
              <w:end w:val="single" w:sz="6" w:space="0" w:color="000000"/>
            </w:tcBorders>
          </w:tcPr>
          <w:p>
            <w:pPr>
              <w:pStyle w:val="Normal"/>
              <w:rPr/>
            </w:pPr>
            <w:r>
              <w:rPr/>
              <w:t>The energy service company would submit requisite documentation to Green-e confirming the ACTUAL savings from the installed projects.  Once Green-e verifies EECs, participants will be allowed to sell a second block (Year 2) of EECs for the anticipated year.</w:t>
            </w:r>
          </w:p>
        </w:tc>
      </w:tr>
    </w:tbl>
    <w:p>
      <w:pPr>
        <w:pStyle w:val="Normal"/>
        <w:rPr/>
      </w:pPr>
      <w:r>
        <w:rPr/>
      </w:r>
    </w:p>
    <w:p>
      <w:pPr>
        <w:pStyle w:val="Normal"/>
        <w:jc w:val="both"/>
        <w:rPr>
          <w:sz w:val="24"/>
        </w:rPr>
      </w:pPr>
      <w:r>
        <w:rPr>
          <w:sz w:val="24"/>
        </w:rPr>
        <w:t xml:space="preserve">Under the recommended plan, EECs can be projected, harvested and sold once all contracts for energy efficiency work have been signed and implementation of a project has been initiated. The contract between an energy service company and the customer will clearly outline the work to be done and ownership of the environmental benefit or EECs from the installed projects. </w:t>
      </w:r>
    </w:p>
    <w:p>
      <w:pPr>
        <w:pStyle w:val="Normal"/>
        <w:jc w:val="both"/>
        <w:rPr>
          <w:sz w:val="24"/>
        </w:rPr>
      </w:pPr>
      <w:r>
        <w:rPr>
          <w:sz w:val="24"/>
        </w:rPr>
      </w:r>
    </w:p>
    <w:p>
      <w:pPr>
        <w:pStyle w:val="Normal"/>
        <w:rPr>
          <w:sz w:val="24"/>
        </w:rPr>
      </w:pPr>
      <w:r>
        <w:rPr>
          <w:sz w:val="24"/>
        </w:rPr>
        <w:t>Project submittal should, at a minimum, include:</w:t>
      </w:r>
    </w:p>
    <w:p>
      <w:pPr>
        <w:pStyle w:val="Normal"/>
        <w:rPr>
          <w:sz w:val="24"/>
        </w:rPr>
      </w:pPr>
      <w:r>
        <w:rPr>
          <w:sz w:val="24"/>
        </w:rPr>
      </w:r>
    </w:p>
    <w:p>
      <w:pPr>
        <w:pStyle w:val="Normal"/>
        <w:numPr>
          <w:ilvl w:val="0"/>
          <w:numId w:val="2"/>
        </w:numPr>
        <w:tabs>
          <w:tab w:val="clear" w:pos="720"/>
          <w:tab w:val="left" w:pos="360" w:leader="none"/>
        </w:tabs>
        <w:rPr>
          <w:sz w:val="24"/>
        </w:rPr>
      </w:pPr>
      <w:r>
        <w:rPr>
          <w:sz w:val="24"/>
        </w:rPr>
        <w:t xml:space="preserve">A signed document from energy service company and customer verifying the work  to be done; </w:t>
      </w:r>
    </w:p>
    <w:p>
      <w:pPr>
        <w:pStyle w:val="Normal"/>
        <w:numPr>
          <w:ilvl w:val="0"/>
          <w:numId w:val="2"/>
        </w:numPr>
        <w:tabs>
          <w:tab w:val="left" w:pos="720" w:leader="none"/>
        </w:tabs>
        <w:ind w:hanging="0" w:start="360" w:end="0"/>
        <w:rPr>
          <w:sz w:val="24"/>
        </w:rPr>
      </w:pPr>
      <w:r>
        <w:rPr>
          <w:sz w:val="24"/>
        </w:rPr>
        <w:t>Description of work to be done and estimated kilowatt-hour savings per year; and</w:t>
      </w:r>
    </w:p>
    <w:p>
      <w:pPr>
        <w:pStyle w:val="Normal"/>
        <w:numPr>
          <w:ilvl w:val="0"/>
          <w:numId w:val="2"/>
        </w:numPr>
        <w:tabs>
          <w:tab w:val="clear" w:pos="720"/>
          <w:tab w:val="left" w:pos="360" w:leader="none"/>
        </w:tabs>
        <w:rPr>
          <w:sz w:val="24"/>
        </w:rPr>
      </w:pPr>
      <w:r>
        <w:rPr>
          <w:sz w:val="24"/>
        </w:rPr>
        <w:t>One year of energy use history to establish the baseline.</w:t>
      </w:r>
    </w:p>
    <w:p>
      <w:pPr>
        <w:pStyle w:val="Normal"/>
        <w:rPr>
          <w:sz w:val="24"/>
        </w:rPr>
      </w:pPr>
      <w:r>
        <w:rPr>
          <w:sz w:val="24"/>
        </w:rPr>
      </w:r>
    </w:p>
    <w:p>
      <w:pPr>
        <w:pStyle w:val="Normal"/>
        <w:jc w:val="both"/>
        <w:rPr>
          <w:sz w:val="24"/>
        </w:rPr>
      </w:pPr>
      <w:r>
        <w:rPr>
          <w:sz w:val="24"/>
        </w:rPr>
        <w:t>The accounting function may be performed in the same manner as that for the renewable energy credits.  Program participants – EEC suppliers and marketers – will report annually, providing Green-e with the total verified number of EECs produced and sold.</w:t>
      </w:r>
    </w:p>
    <w:p>
      <w:pPr>
        <w:pStyle w:val="Normal"/>
        <w:jc w:val="both"/>
        <w:rPr>
          <w:sz w:val="24"/>
        </w:rPr>
      </w:pPr>
      <w:r>
        <w:rPr>
          <w:sz w:val="24"/>
        </w:rPr>
      </w:r>
    </w:p>
    <w:p>
      <w:pPr>
        <w:pStyle w:val="Normal"/>
        <w:jc w:val="both"/>
        <w:rPr>
          <w:sz w:val="24"/>
        </w:rPr>
      </w:pPr>
      <w:r>
        <w:rPr>
          <w:sz w:val="24"/>
        </w:rPr>
        <w:t xml:space="preserve">Every year, EECs from energy efficiency projects will be accounted, bought and sold until the lifetime (as described below) of the EECs expires.  Consistent with the renewables program, energy efficiency credits could not be banked for use in future years, except for use during the truing up period each year. </w:t>
      </w:r>
    </w:p>
    <w:p>
      <w:pPr>
        <w:pStyle w:val="Normal"/>
        <w:rPr>
          <w:sz w:val="24"/>
        </w:rPr>
      </w:pPr>
      <w:r>
        <w:rPr>
          <w:sz w:val="24"/>
        </w:rPr>
      </w:r>
    </w:p>
    <w:p>
      <w:pPr>
        <w:pStyle w:val="Heading1"/>
        <w:ind w:hanging="0" w:start="0"/>
        <w:rPr/>
      </w:pPr>
      <w:r>
        <w:rPr/>
        <w:t>Retail: Green-e Certified Supplier</w:t>
      </w:r>
    </w:p>
    <w:p>
      <w:pPr>
        <w:pStyle w:val="Normal"/>
        <w:jc w:val="both"/>
        <w:rPr>
          <w:sz w:val="24"/>
        </w:rPr>
      </w:pPr>
      <w:r>
        <w:rPr>
          <w:sz w:val="24"/>
        </w:rPr>
        <w:t xml:space="preserve">While the wholesale level involves the harvesting and sale of EECs to Green-e certified suppliers, the retail level involves the actual selling of certified products to end-use customers. The following example describes how EECs can be sold as part of a Green-e renewable energy product.  All of the aspects of harvesting the energy efficiency credits remain the same as described in the previous section.  </w:t>
      </w:r>
    </w:p>
    <w:p>
      <w:pPr>
        <w:pStyle w:val="Normal"/>
        <w:jc w:val="both"/>
        <w:rPr>
          <w:sz w:val="24"/>
        </w:rPr>
      </w:pPr>
      <w:r>
        <w:rPr>
          <w:sz w:val="24"/>
        </w:rPr>
      </w:r>
    </w:p>
    <w:p>
      <w:pPr>
        <w:pStyle w:val="Normal"/>
        <w:jc w:val="both"/>
        <w:rPr>
          <w:sz w:val="24"/>
        </w:rPr>
      </w:pPr>
      <w:r>
        <w:rPr>
          <w:sz w:val="24"/>
        </w:rPr>
        <w:t>Dig the Earth (DE) retail supplier sells 100% renewable energy certified by Green-e.  Harvest Energy Savings (HES), an energy services company, harvested 1000 renewable energy credit “blocks” of EECs from its efficiency projects, which is equivalent to 150,000 kWh in savings.  DE purchases from HES 1000 blocks of EECs for its 100% renewable retail product.  DE’s product that is sold to its customers would consist of the following electricity and renewable energy credits components:</w:t>
      </w:r>
      <w:r>
        <w:br w:type="page"/>
      </w:r>
    </w:p>
    <w:p>
      <w:pPr>
        <w:pStyle w:val="Heading1"/>
        <w:widowControl/>
        <w:ind w:hanging="0" w:start="0"/>
        <w:rPr>
          <w:sz w:val="24"/>
        </w:rPr>
      </w:pPr>
      <w:r>
        <w:rPr>
          <w:sz w:val="24"/>
        </w:rPr>
      </w:r>
    </w:p>
    <w:p>
      <w:pPr>
        <w:pStyle w:val="Heading1"/>
        <w:widowControl/>
        <w:ind w:hanging="0" w:start="0"/>
        <w:jc w:val="center"/>
        <w:rPr/>
      </w:pPr>
      <w:r>
        <w:rPr/>
        <w:t>Table 5: Example of Product Components Based on Blocks</w:t>
      </w:r>
    </w:p>
    <w:p>
      <w:pPr>
        <w:pStyle w:val="Normal"/>
        <w:rPr/>
      </w:pPr>
      <w:r>
        <w:rPr/>
        <w:t>(Minimum block size is 150 kWh; therefore EECs can only comprise up to 50% of the block size or 75 kWh)</w:t>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Product Components</w:t>
            </w:r>
          </w:p>
        </w:tc>
        <w:tc>
          <w:tcPr>
            <w:tcW w:w="2952"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KWh</w:t>
            </w:r>
          </w:p>
        </w:tc>
        <w:tc>
          <w:tcPr>
            <w:tcW w:w="2952"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Credits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System Power</w:t>
            </w:r>
            <w:r>
              <w:rPr>
                <w:rStyle w:val="FootnoteCharacters"/>
                <w:rStyle w:val="FootnoteReference"/>
              </w:rPr>
              <w:footnoteReference w:id="19"/>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300,000 kWh</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Energy Efficiency Credits</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1000 blocks (150,000 kWh)</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New Wind Renewable Energy Certificate Blocks</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1000 blocks (150,000 kWh)</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100% Renewable Product</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300,000 kWh</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300,000 credits</w:t>
            </w:r>
          </w:p>
        </w:tc>
      </w:tr>
    </w:tbl>
    <w:p>
      <w:pPr>
        <w:pStyle w:val="NormalWeb"/>
        <w:widowControl/>
        <w:spacing w:before="0" w:after="0"/>
        <w:rPr/>
      </w:pPr>
      <w:r>
        <w:rPr/>
      </w:r>
    </w:p>
    <w:p>
      <w:pPr>
        <w:pStyle w:val="Normal"/>
        <w:jc w:val="both"/>
        <w:rPr>
          <w:sz w:val="24"/>
        </w:rPr>
      </w:pPr>
      <w:r>
        <w:rPr>
          <w:sz w:val="24"/>
        </w:rPr>
        <w:t>The blocks of EECs would be the equivalent of Renewable Energy Certificates, thus adding a renewable component to the system power that would be purchased.  If we assume that an average household uses 7,200 kWh of electricity per year, this renewable energy product can be purchased for approximately 41 households.</w:t>
      </w:r>
    </w:p>
    <w:p>
      <w:pPr>
        <w:pStyle w:val="Normal"/>
        <w:jc w:val="both"/>
        <w:rPr>
          <w:sz w:val="24"/>
        </w:rPr>
      </w:pPr>
      <w:r>
        <w:rPr>
          <w:sz w:val="24"/>
        </w:rPr>
      </w:r>
    </w:p>
    <w:p>
      <w:pPr>
        <w:pStyle w:val="Heading3"/>
        <w:widowControl/>
        <w:ind w:hanging="0" w:start="0"/>
        <w:rPr/>
      </w:pPr>
      <w:r>
        <w:rPr/>
        <w:t>Table 6: Example of Product Components Based on Percentage of Use</w:t>
      </w:r>
    </w:p>
    <w:p>
      <w:pPr>
        <w:pStyle w:val="Normal"/>
        <w:jc w:val="both"/>
        <w:rPr/>
      </w:pPr>
      <w:r>
        <w:rPr/>
        <w:t>(Energy efficiency credits can comprise up to 50% of the renewable component of a Green-e product)</w:t>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Product Components</w:t>
            </w:r>
          </w:p>
        </w:tc>
        <w:tc>
          <w:tcPr>
            <w:tcW w:w="2952"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KWh</w:t>
            </w:r>
          </w:p>
        </w:tc>
        <w:tc>
          <w:tcPr>
            <w:tcW w:w="2952"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Credits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System Power</w:t>
            </w:r>
            <w:r>
              <w:rPr>
                <w:rStyle w:val="FootnoteCharacters"/>
                <w:rStyle w:val="FootnoteReference"/>
              </w:rPr>
              <w:footnoteReference w:id="20"/>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25% (75,000 kWh)</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Energy Efficiency Credits</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25% (75,000 kWh)</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Renewable Energy </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75% (225,000 kWh)</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100% Renewable Product</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300,000 kWh</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25% credits</w:t>
            </w:r>
          </w:p>
        </w:tc>
      </w:tr>
    </w:tbl>
    <w:p>
      <w:pPr>
        <w:pStyle w:val="Normal"/>
        <w:jc w:val="both"/>
        <w:rPr>
          <w:sz w:val="24"/>
        </w:rPr>
      </w:pPr>
      <w:r>
        <w:rPr>
          <w:sz w:val="24"/>
        </w:rPr>
      </w:r>
    </w:p>
    <w:p>
      <w:pPr>
        <w:pStyle w:val="NormalWeb"/>
        <w:widowControl/>
        <w:spacing w:before="0" w:after="0"/>
        <w:rPr>
          <w:sz w:val="24"/>
        </w:rPr>
      </w:pPr>
      <w:r>
        <w:rPr>
          <w:sz w:val="24"/>
        </w:rPr>
      </w:r>
    </w:p>
    <w:p>
      <w:pPr>
        <w:pStyle w:val="BodyText2"/>
        <w:rPr>
          <w:b/>
        </w:rPr>
      </w:pPr>
      <w:r>
        <w:rPr>
          <w:b/>
        </w:rPr>
        <w:t>Measurement and Verification</w:t>
      </w:r>
    </w:p>
    <w:p>
      <w:pPr>
        <w:pStyle w:val="Normal"/>
        <w:jc w:val="both"/>
        <w:rPr/>
      </w:pPr>
      <w:r>
        <w:rPr>
          <w:sz w:val="24"/>
        </w:rPr>
        <w:t>The Team recommends a monitoring and verification (M&amp;V) approach that is consistent with a method outlined in the Center for Resource Solution’s “Pennsylvania Green-e Program Verification Manual for Energy Saving Measures.”  Green-e’s “Customized Measurement and Verification Option,”</w:t>
      </w:r>
      <w:r>
        <w:rPr>
          <w:rStyle w:val="FootnoteCharacters"/>
          <w:rStyle w:val="FootnoteReference"/>
          <w:sz w:val="24"/>
        </w:rPr>
        <w:footnoteReference w:id="21"/>
      </w:r>
      <w:r>
        <w:rPr>
          <w:sz w:val="24"/>
        </w:rPr>
        <w:t xml:space="preserve"> which was developed by Schiller Associates, is based upon the requirements outlined in the International Performance Measurement and Verification Protocol (IPMVP). The IPMVP is widely accepted and was created by a coalition of market participants and the Department of Energy.  The IPMVP provides a common language and methodology for reporting, measuring, verifying, and communicating about energy efficiency improvements in commercial and industrial facilities.</w:t>
      </w:r>
      <w:r>
        <w:rPr>
          <w:rStyle w:val="FootnoteCharacters"/>
          <w:rStyle w:val="FootnoteReference"/>
          <w:sz w:val="24"/>
        </w:rPr>
        <w:footnoteReference w:id="22"/>
      </w:r>
      <w:r>
        <w:rPr>
          <w:sz w:val="24"/>
        </w:rPr>
        <w:t xml:space="preserve"> </w:t>
      </w:r>
    </w:p>
    <w:p>
      <w:pPr>
        <w:pStyle w:val="Normal"/>
        <w:jc w:val="both"/>
        <w:rPr>
          <w:sz w:val="24"/>
        </w:rPr>
      </w:pPr>
      <w:r>
        <w:rPr>
          <w:sz w:val="24"/>
        </w:rPr>
      </w:r>
    </w:p>
    <w:p>
      <w:pPr>
        <w:pStyle w:val="Normal"/>
        <w:jc w:val="both"/>
        <w:rPr/>
      </w:pPr>
      <w:r>
        <w:rPr>
          <w:sz w:val="24"/>
        </w:rPr>
        <w:t>“</w:t>
      </w:r>
      <w:r>
        <w:rPr>
          <w:sz w:val="24"/>
        </w:rPr>
        <w:t>Deemed values,” which is the other method outlined in the Pennsylvania Green-e Verification Manual and which has been recommended for the residential sector, do not lend themselves as readily to measurement and verification of EECs in the commercial and industrial sector. The characteristics and magnitude of energy savings from one C&amp;I project to another vary substantially.  Since commercial and industrial sector projects are more individualized, some aspects can be measured on an actual or metered basis. The IPMVP provides guidelines for many methods of documenting and reporting energy efficiency savings, from boundaries “as narrow as the flow of energy through a pipe or wire, to as broad as the total energy use of one or many buildings.”</w:t>
      </w:r>
      <w:r>
        <w:rPr>
          <w:rStyle w:val="FootnoteCharacters"/>
          <w:rStyle w:val="FootnoteReference"/>
          <w:sz w:val="24"/>
        </w:rPr>
        <w:footnoteReference w:id="23"/>
      </w:r>
      <w:r>
        <w:rPr>
          <w:sz w:val="24"/>
        </w:rPr>
        <w:t xml:space="preserve">  Given the diverse range of energy efficiency technologies and strategies, and in order to maintain a simple and transparent format for project implementation and EECs validation, the Team recommends that energy savings be measured on a building-by-building basis</w:t>
      </w:r>
      <w:r>
        <w:rPr>
          <w:color w:val="FF0000"/>
          <w:sz w:val="24"/>
        </w:rPr>
        <w:t xml:space="preserve"> </w:t>
      </w:r>
      <w:r>
        <w:rPr>
          <w:sz w:val="24"/>
        </w:rPr>
        <w:t>for commercial facilities. For industrial facilities, the Team believes a systems approach would be more appropriate (see Valuing Energy Efficiency Credits section below).</w:t>
      </w:r>
    </w:p>
    <w:p>
      <w:pPr>
        <w:pStyle w:val="Normal"/>
        <w:jc w:val="both"/>
        <w:rPr>
          <w:sz w:val="24"/>
        </w:rPr>
      </w:pPr>
      <w:r>
        <w:rPr>
          <w:sz w:val="24"/>
        </w:rPr>
      </w:r>
    </w:p>
    <w:p>
      <w:pPr>
        <w:pStyle w:val="Normal"/>
        <w:jc w:val="both"/>
        <w:rPr>
          <w:sz w:val="24"/>
        </w:rPr>
      </w:pPr>
      <w:r>
        <w:rPr>
          <w:sz w:val="24"/>
        </w:rPr>
        <w:t>The IPMVP also provides a standard methodology for verifying energy savings.  The standard equation is:</w:t>
      </w:r>
    </w:p>
    <w:p>
      <w:pPr>
        <w:pStyle w:val="Normal"/>
        <w:rPr>
          <w:sz w:val="24"/>
        </w:rPr>
      </w:pPr>
      <w:r>
        <w:rPr>
          <w:sz w:val="24"/>
        </w:rPr>
      </w:r>
    </w:p>
    <w:p>
      <w:pPr>
        <w:pStyle w:val="Normal"/>
        <w:ind w:firstLine="720" w:end="0"/>
        <w:jc w:val="center"/>
        <w:rPr>
          <w:sz w:val="24"/>
        </w:rPr>
      </w:pPr>
      <w:r>
        <w:rPr>
          <w:sz w:val="24"/>
        </w:rPr>
        <w:t>Energy Savings = Base Year Energy Use – Post-Retrofit Energy Use</w:t>
      </w:r>
    </w:p>
    <w:p>
      <w:pPr>
        <w:pStyle w:val="Normal"/>
        <w:jc w:val="center"/>
        <w:rPr/>
      </w:pPr>
      <w:r>
        <w:rPr>
          <w:sz w:val="24"/>
          <w:u w:val="single"/>
        </w:rPr>
        <w:t xml:space="preserve">+ </w:t>
      </w:r>
      <w:r>
        <w:rPr>
          <w:sz w:val="24"/>
        </w:rPr>
        <w:t>Adjustments</w:t>
      </w:r>
    </w:p>
    <w:p>
      <w:pPr>
        <w:pStyle w:val="NormalWeb"/>
        <w:widowControl/>
        <w:spacing w:before="0" w:after="0"/>
        <w:rPr>
          <w:sz w:val="24"/>
        </w:rPr>
      </w:pPr>
      <w:r>
        <w:rPr>
          <w:sz w:val="24"/>
        </w:rPr>
      </w:r>
    </w:p>
    <w:p>
      <w:pPr>
        <w:pStyle w:val="Normal"/>
        <w:jc w:val="both"/>
        <w:rPr/>
      </w:pPr>
      <w:r>
        <w:rPr>
          <w:sz w:val="24"/>
        </w:rPr>
        <w:t>Adjustments include “weather, occupancy, plant throughput, and equipment operations required by these conditions.”</w:t>
      </w:r>
      <w:r>
        <w:rPr>
          <w:rStyle w:val="FootnoteCharacters"/>
          <w:rStyle w:val="FootnoteReference"/>
          <w:sz w:val="24"/>
        </w:rPr>
        <w:footnoteReference w:id="24"/>
      </w:r>
      <w:r>
        <w:rPr>
          <w:sz w:val="24"/>
        </w:rPr>
        <w:t xml:space="preserve">  Either the owner or the ESCO provides a comprehensive energy assessment from which the base year energy use is determined.  Adjustments are made depending on the differences in conditions over time when compared to the base year energy assessment. </w:t>
      </w:r>
    </w:p>
    <w:p>
      <w:pPr>
        <w:pStyle w:val="Normal"/>
        <w:jc w:val="both"/>
        <w:rPr>
          <w:sz w:val="24"/>
        </w:rPr>
      </w:pPr>
      <w:r>
        <w:rPr>
          <w:sz w:val="24"/>
        </w:rPr>
      </w:r>
    </w:p>
    <w:p>
      <w:pPr>
        <w:pStyle w:val="Normal"/>
        <w:jc w:val="both"/>
        <w:rPr>
          <w:sz w:val="24"/>
        </w:rPr>
      </w:pPr>
      <w:r>
        <w:rPr>
          <w:sz w:val="24"/>
        </w:rPr>
        <w:t xml:space="preserve">For C&amp;I energy efficiency projects, the Team recommends that the chief engineer overseeing the project from the energy service company verify the work.  The chief engineer will develop estimated savings according to a standard protocol for each credit-generating facility, and verify those savings based on an annual true up.  </w:t>
      </w:r>
    </w:p>
    <w:p>
      <w:pPr>
        <w:pStyle w:val="Normal"/>
        <w:jc w:val="both"/>
        <w:rPr>
          <w:sz w:val="24"/>
        </w:rPr>
      </w:pPr>
      <w:r>
        <w:rPr>
          <w:sz w:val="24"/>
        </w:rPr>
      </w:r>
    </w:p>
    <w:p>
      <w:pPr>
        <w:pStyle w:val="Normal"/>
        <w:jc w:val="both"/>
        <w:rPr>
          <w:sz w:val="24"/>
        </w:rPr>
      </w:pPr>
      <w:r>
        <w:rPr>
          <w:sz w:val="24"/>
        </w:rPr>
        <w:t xml:space="preserve">The Team fully recognizes that neither this document nor the IPMVP provides a complete framework for appropriate monitoring and verification activities, and as such, a broader group would need to agree upon the details for a EEC Program to move forward. </w:t>
      </w:r>
    </w:p>
    <w:p>
      <w:pPr>
        <w:pStyle w:val="Normal"/>
        <w:jc w:val="both"/>
        <w:rPr>
          <w:sz w:val="24"/>
        </w:rPr>
      </w:pPr>
      <w:r>
        <w:rPr>
          <w:sz w:val="24"/>
        </w:rPr>
      </w:r>
    </w:p>
    <w:p>
      <w:pPr>
        <w:pStyle w:val="Heading1"/>
        <w:widowControl/>
        <w:ind w:hanging="0" w:start="0"/>
        <w:rPr/>
      </w:pPr>
      <w:r>
        <w:rPr/>
        <w:t>Valuing Energy Efficiency Credits</w:t>
      </w:r>
    </w:p>
    <w:p>
      <w:pPr>
        <w:pStyle w:val="Normal"/>
        <w:jc w:val="both"/>
        <w:rPr>
          <w:sz w:val="24"/>
        </w:rPr>
      </w:pPr>
      <w:r>
        <w:rPr>
          <w:sz w:val="24"/>
        </w:rPr>
        <w:t>While it might go without saying, the market should determine the value of EECs.  While avoided emissions will likely drive the price of EECs, the Team believes the environmental attributes should not be separated or “de-linked”, and the end-use retail customer purchasing a Green-e certified product should retain all of the environmental attributes associated with the EECs, consistent with current Green-e renewable certificate standards.</w:t>
      </w:r>
    </w:p>
    <w:p>
      <w:pPr>
        <w:pStyle w:val="Normal"/>
        <w:jc w:val="both"/>
        <w:rPr>
          <w:sz w:val="24"/>
        </w:rPr>
      </w:pPr>
      <w:r>
        <w:rPr>
          <w:sz w:val="24"/>
        </w:rPr>
      </w:r>
    </w:p>
    <w:p>
      <w:pPr>
        <w:pStyle w:val="Normal"/>
        <w:rPr>
          <w:b/>
          <w:sz w:val="24"/>
        </w:rPr>
      </w:pPr>
      <w:r>
        <w:rPr>
          <w:b/>
          <w:sz w:val="24"/>
        </w:rPr>
        <w:t>Establishing Additionality</w:t>
      </w:r>
    </w:p>
    <w:p>
      <w:pPr>
        <w:pStyle w:val="Normal"/>
        <w:jc w:val="both"/>
        <w:rPr>
          <w:sz w:val="24"/>
        </w:rPr>
      </w:pPr>
      <w:r>
        <w:rPr>
          <w:sz w:val="24"/>
        </w:rPr>
        <w:t>The Team recommends that only the EECs generated from projects that offer energy savings that otherwise would not have been implemented be eligible for inclusion in Green-e certified renewable products.   A good way to address additionality is to establish a high threshold on the amount of energy savings a project must meet in order to qualify for EECs.  This threshold should be set at a level that encourages additional projects to be implemented that otherwise would not have been added.  Therefore, only efficiency reductions achieved once the threshold is reached would be eligible for inclusion in Green-e certified products.</w:t>
      </w:r>
    </w:p>
    <w:p>
      <w:pPr>
        <w:pStyle w:val="Normal"/>
        <w:jc w:val="both"/>
        <w:rPr>
          <w:sz w:val="24"/>
        </w:rPr>
      </w:pPr>
      <w:r>
        <w:rPr>
          <w:sz w:val="24"/>
        </w:rPr>
      </w:r>
    </w:p>
    <w:p>
      <w:pPr>
        <w:pStyle w:val="Normal"/>
        <w:jc w:val="both"/>
        <w:rPr/>
      </w:pPr>
      <w:r>
        <w:rPr>
          <w:sz w:val="24"/>
        </w:rPr>
        <w:t>In examining where this threshold should be set, the Group examined various energy efficiency projects to determine the “industry standard”.  Through the late 1980s and the 1990s, many commercial and industrial entities engaged in energy efficiency work.  For example, just within the U.S. Environmental Protection Agencies Energy Star Buildings and Green Lights programs, over 4,400 organizations comprising thirteen percent of the commercial and industrial building space in the United States are engaged in energy efficiency work.</w:t>
      </w:r>
      <w:r>
        <w:rPr>
          <w:rStyle w:val="FootnoteCharacters"/>
          <w:rStyle w:val="FootnoteReference"/>
          <w:sz w:val="24"/>
        </w:rPr>
        <w:footnoteReference w:id="25"/>
      </w:r>
      <w:r>
        <w:rPr>
          <w:sz w:val="24"/>
        </w:rPr>
        <w:t xml:space="preserve">  Additional information on energy efficiency projects in the facilities of nearly 100 companies has been documented in a number of publications and reports, including the 1999 book, </w:t>
      </w:r>
      <w:r>
        <w:rPr>
          <w:sz w:val="24"/>
          <w:u w:val="single"/>
        </w:rPr>
        <w:t>Cool Companies</w:t>
      </w:r>
      <w:r>
        <w:rPr>
          <w:sz w:val="24"/>
        </w:rPr>
        <w:t>.</w:t>
      </w:r>
      <w:r>
        <w:rPr>
          <w:rStyle w:val="FootnoteCharacters"/>
          <w:rStyle w:val="FootnoteReference"/>
          <w:sz w:val="24"/>
        </w:rPr>
        <w:footnoteReference w:id="26"/>
      </w:r>
      <w:r>
        <w:rPr>
          <w:sz w:val="24"/>
        </w:rPr>
        <w:t xml:space="preserve"> </w:t>
      </w:r>
    </w:p>
    <w:p>
      <w:pPr>
        <w:pStyle w:val="Normal"/>
        <w:jc w:val="both"/>
        <w:rPr>
          <w:sz w:val="24"/>
        </w:rPr>
      </w:pPr>
      <w:r>
        <w:rPr>
          <w:sz w:val="24"/>
        </w:rPr>
      </w:r>
    </w:p>
    <w:p>
      <w:pPr>
        <w:pStyle w:val="NormalWeb"/>
        <w:widowControl/>
        <w:spacing w:before="0" w:after="0"/>
        <w:jc w:val="both"/>
        <w:rPr/>
      </w:pPr>
      <w:r>
        <w:rPr/>
        <w:t>Based on a review of projects in publications and reports mentioned above, the Team  recommends projects meet an ambitious base threshold electricity use reduction in order to qualify for EECs to establish additionality while simultaneously encouraging additional projects to be implemented that otherwise would not have been undertaken.  In addition, given the large differences in energy systems and patterns of consumption, the Team recommends different approaches for commercial buildings and industrial facilities.  We recommend a whole-building approach for commercial buildings, and a technology system approach (e.g. motors, compressed air) for industrial facilities.</w:t>
      </w:r>
    </w:p>
    <w:p>
      <w:pPr>
        <w:pStyle w:val="Normal"/>
        <w:jc w:val="both"/>
        <w:rPr>
          <w:sz w:val="24"/>
        </w:rPr>
      </w:pPr>
      <w:r>
        <w:rPr>
          <w:sz w:val="24"/>
        </w:rPr>
      </w:r>
    </w:p>
    <w:p>
      <w:pPr>
        <w:pStyle w:val="Heading1"/>
        <w:widowControl/>
        <w:ind w:hanging="0" w:start="0"/>
        <w:rPr/>
      </w:pPr>
      <w:r>
        <w:rPr/>
        <w:t>Commercial Buildings</w:t>
      </w:r>
    </w:p>
    <w:p>
      <w:pPr>
        <w:pStyle w:val="Normal"/>
        <w:jc w:val="both"/>
        <w:rPr>
          <w:sz w:val="24"/>
        </w:rPr>
      </w:pPr>
      <w:r>
        <w:rPr>
          <w:sz w:val="24"/>
        </w:rPr>
        <w:t xml:space="preserve">While specific project data is not readily available, two energy efficiency programs have collected data which can be very illustrative, as well as helpful, in making a determination as to a reasonable base threshold level to address the additionality concern.  First, the Texas A&amp;M LoanStar Program, a revolving loan fund for efficiency projects run through the Texas State Energy Conservation Office offered us their data.  This project is unique in that they used continuous commissioning, adding an additional 15% to 45% savings over a normally commissioned building as measured by the methods outlined in the US Department of Energy’s International Performance Measurement and Verification Protocol (IPMVP). Thus, the higher savings are atypical in non-commissioned projects.  One can see from the table below, that the average savings of the installed projects were 17%.  </w:t>
      </w:r>
    </w:p>
    <w:p>
      <w:pPr>
        <w:pStyle w:val="Normal"/>
        <w:jc w:val="center"/>
        <w:rPr/>
      </w:pPr>
      <w:r>
        <w:rPr/>
        <w:t>Table 6: Texas A&amp;M LoanStar Program Data</w:t>
      </w:r>
    </w:p>
    <w:tbl>
      <w:tblPr>
        <w:tblW w:w="8596" w:type="dxa"/>
        <w:jc w:val="start"/>
        <w:tblInd w:w="-35" w:type="dxa"/>
        <w:tblLayout w:type="fixed"/>
        <w:tblCellMar>
          <w:top w:w="0" w:type="dxa"/>
          <w:start w:w="0" w:type="dxa"/>
          <w:bottom w:w="0" w:type="dxa"/>
          <w:end w:w="0" w:type="dxa"/>
        </w:tblCellMar>
      </w:tblPr>
      <w:tblGrid>
        <w:gridCol w:w="465"/>
        <w:gridCol w:w="1831"/>
        <w:gridCol w:w="1260"/>
        <w:gridCol w:w="1710"/>
        <w:gridCol w:w="1170"/>
        <w:gridCol w:w="1139"/>
        <w:gridCol w:w="1021"/>
      </w:tblGrid>
      <w:tr>
        <w:trPr>
          <w:trHeight w:val="255" w:hRule="atLeast"/>
        </w:trPr>
        <w:tc>
          <w:tcPr>
            <w:tcW w:w="465" w:type="dxa"/>
            <w:tcBorders>
              <w:top w:val="single" w:sz="8" w:space="0" w:color="000000"/>
              <w:start w:val="single" w:sz="8" w:space="0" w:color="000000"/>
              <w:bottom w:val="single" w:sz="4" w:space="0" w:color="000000"/>
              <w:end w:val="single" w:sz="4" w:space="0" w:color="000000"/>
            </w:tcBorders>
            <w:vAlign w:val="bottom"/>
          </w:tcPr>
          <w:p>
            <w:pPr>
              <w:pStyle w:val="Normal"/>
              <w:jc w:val="center"/>
              <w:rPr>
                <w:rFonts w:eastAsia="Arial Unicode MS"/>
                <w:b/>
                <w:sz w:val="18"/>
              </w:rPr>
            </w:pPr>
            <w:r>
              <w:rPr>
                <w:b/>
                <w:sz w:val="18"/>
              </w:rPr>
              <w:t>No.</w:t>
            </w:r>
          </w:p>
        </w:tc>
        <w:tc>
          <w:tcPr>
            <w:tcW w:w="1831" w:type="dxa"/>
            <w:tcBorders>
              <w:top w:val="single" w:sz="8" w:space="0" w:color="000000"/>
              <w:bottom w:val="single" w:sz="4" w:space="0" w:color="000000"/>
              <w:end w:val="single" w:sz="4" w:space="0" w:color="000000"/>
            </w:tcBorders>
            <w:vAlign w:val="bottom"/>
          </w:tcPr>
          <w:p>
            <w:pPr>
              <w:pStyle w:val="Normal"/>
              <w:jc w:val="center"/>
              <w:rPr>
                <w:rFonts w:eastAsia="Arial Unicode MS"/>
                <w:b/>
                <w:sz w:val="18"/>
              </w:rPr>
            </w:pPr>
            <w:r>
              <w:rPr>
                <w:b/>
                <w:sz w:val="18"/>
              </w:rPr>
              <w:t>State Agencies</w:t>
            </w:r>
          </w:p>
        </w:tc>
        <w:tc>
          <w:tcPr>
            <w:tcW w:w="1260" w:type="dxa"/>
            <w:tcBorders>
              <w:top w:val="single" w:sz="8" w:space="0" w:color="000000"/>
              <w:bottom w:val="single" w:sz="4" w:space="0" w:color="000000"/>
              <w:end w:val="single" w:sz="4" w:space="0" w:color="000000"/>
            </w:tcBorders>
            <w:vAlign w:val="bottom"/>
          </w:tcPr>
          <w:p>
            <w:pPr>
              <w:pStyle w:val="Heading4"/>
              <w:ind w:hanging="0" w:start="0"/>
              <w:rPr>
                <w:rFonts w:eastAsia="Arial Unicode MS"/>
              </w:rPr>
            </w:pPr>
            <w:r>
              <w:rPr/>
              <w:t>Total Savings</w:t>
            </w:r>
          </w:p>
        </w:tc>
        <w:tc>
          <w:tcPr>
            <w:tcW w:w="1710" w:type="dxa"/>
            <w:tcBorders>
              <w:top w:val="single" w:sz="8" w:space="0" w:color="000000"/>
              <w:bottom w:val="single" w:sz="4" w:space="0" w:color="000000"/>
              <w:end w:val="single" w:sz="4" w:space="0" w:color="000000"/>
            </w:tcBorders>
            <w:vAlign w:val="bottom"/>
          </w:tcPr>
          <w:p>
            <w:pPr>
              <w:pStyle w:val="Normal"/>
              <w:jc w:val="center"/>
              <w:rPr>
                <w:rFonts w:eastAsia="Arial Unicode MS"/>
                <w:b/>
                <w:sz w:val="18"/>
              </w:rPr>
            </w:pPr>
            <w:r>
              <w:rPr>
                <w:b/>
                <w:sz w:val="18"/>
              </w:rPr>
              <w:t>Pre- Retrofit Annual Utility</w:t>
            </w:r>
          </w:p>
        </w:tc>
        <w:tc>
          <w:tcPr>
            <w:tcW w:w="1170" w:type="dxa"/>
            <w:tcBorders>
              <w:top w:val="single" w:sz="8" w:space="0" w:color="000000"/>
              <w:bottom w:val="single" w:sz="4" w:space="0" w:color="000000"/>
              <w:end w:val="single" w:sz="4" w:space="0" w:color="000000"/>
            </w:tcBorders>
            <w:vAlign w:val="bottom"/>
          </w:tcPr>
          <w:p>
            <w:pPr>
              <w:pStyle w:val="Normal"/>
              <w:jc w:val="center"/>
              <w:rPr>
                <w:rFonts w:eastAsia="Arial Unicode MS"/>
                <w:b/>
                <w:sz w:val="18"/>
              </w:rPr>
            </w:pPr>
            <w:r>
              <w:rPr>
                <w:b/>
                <w:sz w:val="18"/>
              </w:rPr>
              <w:t>% Reduction</w:t>
            </w:r>
          </w:p>
        </w:tc>
        <w:tc>
          <w:tcPr>
            <w:tcW w:w="1139" w:type="dxa"/>
            <w:tcBorders>
              <w:top w:val="single" w:sz="8" w:space="0" w:color="000000"/>
              <w:bottom w:val="single" w:sz="4" w:space="0" w:color="000000"/>
              <w:end w:val="single" w:sz="4" w:space="0" w:color="000000"/>
            </w:tcBorders>
            <w:vAlign w:val="bottom"/>
          </w:tcPr>
          <w:p>
            <w:pPr>
              <w:pStyle w:val="Normal"/>
              <w:jc w:val="center"/>
              <w:rPr>
                <w:rFonts w:eastAsia="Arial Unicode MS"/>
                <w:b/>
                <w:sz w:val="18"/>
              </w:rPr>
            </w:pPr>
            <w:r>
              <w:rPr>
                <w:b/>
                <w:sz w:val="18"/>
              </w:rPr>
              <w:t xml:space="preserve">No. of Months </w:t>
            </w:r>
          </w:p>
        </w:tc>
        <w:tc>
          <w:tcPr>
            <w:tcW w:w="1021" w:type="dxa"/>
            <w:tcBorders>
              <w:top w:val="single" w:sz="8" w:space="0" w:color="000000"/>
              <w:bottom w:val="single" w:sz="4" w:space="0" w:color="000000"/>
              <w:end w:val="single" w:sz="8" w:space="0" w:color="000000"/>
            </w:tcBorders>
            <w:vAlign w:val="bottom"/>
          </w:tcPr>
          <w:p>
            <w:pPr>
              <w:pStyle w:val="Normal"/>
              <w:jc w:val="center"/>
              <w:rPr>
                <w:rFonts w:eastAsia="Arial Unicode MS"/>
                <w:b/>
                <w:sz w:val="18"/>
              </w:rPr>
            </w:pPr>
            <w:r>
              <w:rPr>
                <w:b/>
                <w:sz w:val="18"/>
              </w:rPr>
              <w:t>sq. ft</w:t>
            </w:r>
          </w:p>
        </w:tc>
      </w:tr>
      <w:tr>
        <w:trPr>
          <w:trHeight w:val="270" w:hRule="atLeast"/>
        </w:trPr>
        <w:tc>
          <w:tcPr>
            <w:tcW w:w="465" w:type="dxa"/>
            <w:tcBorders>
              <w:start w:val="single" w:sz="8" w:space="0" w:color="000000"/>
              <w:bottom w:val="single" w:sz="8" w:space="0" w:color="000000"/>
              <w:end w:val="single" w:sz="4" w:space="0" w:color="000000"/>
            </w:tcBorders>
            <w:vAlign w:val="bottom"/>
          </w:tcPr>
          <w:p>
            <w:pPr>
              <w:pStyle w:val="Normal"/>
              <w:jc w:val="center"/>
              <w:rPr>
                <w:rFonts w:eastAsia="Arial Unicode MS"/>
                <w:b/>
                <w:sz w:val="18"/>
              </w:rPr>
            </w:pPr>
            <w:r>
              <w:rPr>
                <w:b/>
                <w:sz w:val="18"/>
              </w:rPr>
              <w:t> </w:t>
            </w:r>
          </w:p>
        </w:tc>
        <w:tc>
          <w:tcPr>
            <w:tcW w:w="1831" w:type="dxa"/>
            <w:tcBorders>
              <w:bottom w:val="single" w:sz="8" w:space="0" w:color="000000"/>
              <w:end w:val="single" w:sz="4" w:space="0" w:color="000000"/>
            </w:tcBorders>
            <w:vAlign w:val="bottom"/>
          </w:tcPr>
          <w:p>
            <w:pPr>
              <w:pStyle w:val="Normal"/>
              <w:jc w:val="center"/>
              <w:rPr>
                <w:rFonts w:eastAsia="Arial Unicode MS"/>
                <w:b/>
                <w:sz w:val="18"/>
              </w:rPr>
            </w:pPr>
            <w:r>
              <w:rPr>
                <w:b/>
                <w:sz w:val="18"/>
              </w:rPr>
              <w:t> </w:t>
            </w:r>
          </w:p>
        </w:tc>
        <w:tc>
          <w:tcPr>
            <w:tcW w:w="1260" w:type="dxa"/>
            <w:tcBorders>
              <w:bottom w:val="single" w:sz="8" w:space="0" w:color="000000"/>
              <w:end w:val="single" w:sz="4" w:space="0" w:color="000000"/>
            </w:tcBorders>
            <w:vAlign w:val="bottom"/>
          </w:tcPr>
          <w:p>
            <w:pPr>
              <w:pStyle w:val="Normal"/>
              <w:jc w:val="center"/>
              <w:rPr>
                <w:rFonts w:eastAsia="Arial Unicode MS"/>
                <w:b/>
                <w:sz w:val="18"/>
              </w:rPr>
            </w:pPr>
            <w:r>
              <w:rPr>
                <w:b/>
                <w:sz w:val="18"/>
              </w:rPr>
              <w:t>($)</w:t>
            </w:r>
          </w:p>
        </w:tc>
        <w:tc>
          <w:tcPr>
            <w:tcW w:w="1710" w:type="dxa"/>
            <w:tcBorders>
              <w:bottom w:val="single" w:sz="8" w:space="0" w:color="000000"/>
              <w:end w:val="single" w:sz="4" w:space="0" w:color="000000"/>
            </w:tcBorders>
            <w:vAlign w:val="bottom"/>
          </w:tcPr>
          <w:p>
            <w:pPr>
              <w:pStyle w:val="Normal"/>
              <w:jc w:val="center"/>
              <w:rPr>
                <w:rFonts w:eastAsia="Arial Unicode MS"/>
                <w:b/>
                <w:sz w:val="18"/>
              </w:rPr>
            </w:pPr>
            <w:r>
              <w:rPr>
                <w:b/>
                <w:sz w:val="18"/>
              </w:rPr>
              <w:t>Costs ($)</w:t>
            </w:r>
          </w:p>
        </w:tc>
        <w:tc>
          <w:tcPr>
            <w:tcW w:w="1170" w:type="dxa"/>
            <w:tcBorders>
              <w:bottom w:val="single" w:sz="8" w:space="0" w:color="000000"/>
              <w:end w:val="single" w:sz="4" w:space="0" w:color="000000"/>
            </w:tcBorders>
            <w:vAlign w:val="bottom"/>
          </w:tcPr>
          <w:p>
            <w:pPr>
              <w:pStyle w:val="Normal"/>
              <w:jc w:val="center"/>
              <w:rPr>
                <w:rFonts w:eastAsia="Arial Unicode MS"/>
                <w:b/>
                <w:sz w:val="18"/>
              </w:rPr>
            </w:pPr>
            <w:r>
              <w:rPr>
                <w:b/>
                <w:sz w:val="18"/>
              </w:rPr>
              <w:t>Over Baseline</w:t>
            </w:r>
          </w:p>
        </w:tc>
        <w:tc>
          <w:tcPr>
            <w:tcW w:w="1139" w:type="dxa"/>
            <w:tcBorders>
              <w:bottom w:val="single" w:sz="8" w:space="0" w:color="000000"/>
              <w:end w:val="single" w:sz="4" w:space="0" w:color="000000"/>
            </w:tcBorders>
            <w:vAlign w:val="bottom"/>
          </w:tcPr>
          <w:p>
            <w:pPr>
              <w:pStyle w:val="Normal"/>
              <w:jc w:val="center"/>
              <w:rPr>
                <w:rFonts w:eastAsia="Arial Unicode MS"/>
                <w:b/>
                <w:sz w:val="18"/>
              </w:rPr>
            </w:pPr>
            <w:r>
              <w:rPr>
                <w:b/>
                <w:sz w:val="18"/>
              </w:rPr>
              <w:t>of Savings</w:t>
            </w:r>
          </w:p>
        </w:tc>
        <w:tc>
          <w:tcPr>
            <w:tcW w:w="1021" w:type="dxa"/>
            <w:tcBorders>
              <w:bottom w:val="single" w:sz="8" w:space="0" w:color="000000"/>
              <w:end w:val="single" w:sz="8" w:space="0" w:color="000000"/>
            </w:tcBorders>
            <w:vAlign w:val="bottom"/>
          </w:tcPr>
          <w:p>
            <w:pPr>
              <w:pStyle w:val="Normal"/>
              <w:snapToGrid w:val="false"/>
              <w:jc w:val="center"/>
              <w:rPr>
                <w:rFonts w:eastAsia="Arial Unicode MS"/>
                <w:b/>
                <w:sz w:val="18"/>
              </w:rPr>
            </w:pPr>
            <w:r>
              <w:rPr>
                <w:rFonts w:eastAsia="Arial Unicode MS"/>
                <w:b/>
                <w:sz w:val="18"/>
              </w:rPr>
            </w:r>
          </w:p>
        </w:tc>
      </w:tr>
      <w:tr>
        <w:trPr>
          <w:trHeight w:val="255" w:hRule="atLeast"/>
        </w:trPr>
        <w:tc>
          <w:tcPr>
            <w:tcW w:w="465" w:type="dxa"/>
            <w:tcBorders>
              <w:start w:val="single" w:sz="8" w:space="0" w:color="000000"/>
              <w:bottom w:val="single" w:sz="4" w:space="0" w:color="000000"/>
              <w:end w:val="single" w:sz="4" w:space="0" w:color="000000"/>
            </w:tcBorders>
            <w:vAlign w:val="bottom"/>
          </w:tcPr>
          <w:p>
            <w:pPr>
              <w:pStyle w:val="Normal"/>
              <w:jc w:val="center"/>
              <w:rPr>
                <w:rFonts w:eastAsia="Arial Unicode MS"/>
                <w:sz w:val="18"/>
              </w:rPr>
            </w:pPr>
            <w:r>
              <w:rPr>
                <w:sz w:val="18"/>
              </w:rPr>
              <w:t> </w:t>
            </w:r>
          </w:p>
        </w:tc>
        <w:tc>
          <w:tcPr>
            <w:tcW w:w="1831" w:type="dxa"/>
            <w:tcBorders>
              <w:bottom w:val="single" w:sz="4" w:space="0" w:color="000000"/>
              <w:end w:val="single" w:sz="4" w:space="0" w:color="000000"/>
            </w:tcBorders>
            <w:vAlign w:val="bottom"/>
          </w:tcPr>
          <w:p>
            <w:pPr>
              <w:pStyle w:val="Normal"/>
              <w:rPr>
                <w:rFonts w:eastAsia="Arial Unicode MS"/>
                <w:sz w:val="18"/>
              </w:rPr>
            </w:pPr>
            <w:r>
              <w:rPr>
                <w:sz w:val="18"/>
              </w:rPr>
              <w:t> </w:t>
            </w:r>
          </w:p>
        </w:tc>
        <w:tc>
          <w:tcPr>
            <w:tcW w:w="1260" w:type="dxa"/>
            <w:tcBorders>
              <w:bottom w:val="single" w:sz="4" w:space="0" w:color="000000"/>
              <w:end w:val="single" w:sz="4" w:space="0" w:color="000000"/>
            </w:tcBorders>
            <w:vAlign w:val="bottom"/>
          </w:tcPr>
          <w:p>
            <w:pPr>
              <w:pStyle w:val="Normal"/>
              <w:snapToGrid w:val="false"/>
              <w:jc w:val="center"/>
              <w:rPr>
                <w:rFonts w:eastAsia="Arial Unicode MS"/>
                <w:sz w:val="18"/>
              </w:rPr>
            </w:pPr>
            <w:r>
              <w:rPr>
                <w:rFonts w:eastAsia="Arial Unicode MS"/>
                <w:sz w:val="18"/>
              </w:rPr>
            </w:r>
          </w:p>
        </w:tc>
        <w:tc>
          <w:tcPr>
            <w:tcW w:w="1710" w:type="dxa"/>
            <w:tcBorders>
              <w:bottom w:val="single" w:sz="4" w:space="0" w:color="000000"/>
              <w:end w:val="single" w:sz="4" w:space="0" w:color="000000"/>
            </w:tcBorders>
            <w:vAlign w:val="bottom"/>
          </w:tcPr>
          <w:p>
            <w:pPr>
              <w:pStyle w:val="Normal"/>
              <w:snapToGrid w:val="false"/>
              <w:jc w:val="center"/>
              <w:rPr>
                <w:rFonts w:eastAsia="Arial Unicode MS"/>
                <w:sz w:val="18"/>
              </w:rPr>
            </w:pPr>
            <w:r>
              <w:rPr>
                <w:rFonts w:eastAsia="Arial Unicode MS"/>
                <w:sz w:val="18"/>
              </w:rPr>
            </w:r>
          </w:p>
        </w:tc>
        <w:tc>
          <w:tcPr>
            <w:tcW w:w="1170" w:type="dxa"/>
            <w:tcBorders>
              <w:bottom w:val="single" w:sz="4" w:space="0" w:color="000000"/>
              <w:end w:val="single" w:sz="4" w:space="0" w:color="000000"/>
            </w:tcBorders>
            <w:vAlign w:val="bottom"/>
          </w:tcPr>
          <w:p>
            <w:pPr>
              <w:pStyle w:val="Normal"/>
              <w:snapToGrid w:val="false"/>
              <w:jc w:val="center"/>
              <w:rPr>
                <w:rFonts w:eastAsia="Arial Unicode MS"/>
                <w:sz w:val="18"/>
              </w:rPr>
            </w:pPr>
            <w:r>
              <w:rPr>
                <w:rFonts w:eastAsia="Arial Unicode MS"/>
                <w:sz w:val="18"/>
              </w:rPr>
            </w:r>
          </w:p>
        </w:tc>
        <w:tc>
          <w:tcPr>
            <w:tcW w:w="1139" w:type="dxa"/>
            <w:tcBorders>
              <w:bottom w:val="single" w:sz="4" w:space="0" w:color="000000"/>
              <w:end w:val="single" w:sz="4" w:space="0" w:color="000000"/>
            </w:tcBorders>
            <w:vAlign w:val="bottom"/>
          </w:tcPr>
          <w:p>
            <w:pPr>
              <w:pStyle w:val="Normal"/>
              <w:jc w:val="center"/>
              <w:rPr>
                <w:rFonts w:eastAsia="Arial Unicode MS"/>
                <w:sz w:val="18"/>
              </w:rPr>
            </w:pPr>
            <w:r>
              <w:rPr>
                <w:sz w:val="18"/>
              </w:rPr>
              <w:t> </w:t>
            </w:r>
          </w:p>
        </w:tc>
        <w:tc>
          <w:tcPr>
            <w:tcW w:w="1021" w:type="dxa"/>
            <w:tcBorders>
              <w:bottom w:val="single" w:sz="4" w:space="0" w:color="000000"/>
              <w:end w:val="single" w:sz="8" w:space="0" w:color="000000"/>
            </w:tcBorders>
            <w:vAlign w:val="bottom"/>
          </w:tcPr>
          <w:p>
            <w:pPr>
              <w:pStyle w:val="Normal"/>
              <w:snapToGrid w:val="false"/>
              <w:jc w:val="center"/>
              <w:rPr>
                <w:rFonts w:eastAsia="Arial Unicode MS"/>
                <w:sz w:val="18"/>
              </w:rPr>
            </w:pPr>
            <w:r>
              <w:rPr>
                <w:rFonts w:eastAsia="Arial Unicode MS"/>
                <w:sz w:val="18"/>
              </w:rPr>
            </w:r>
          </w:p>
        </w:tc>
      </w:tr>
      <w:tr>
        <w:trPr>
          <w:trHeight w:val="255" w:hRule="atLeast"/>
        </w:trPr>
        <w:tc>
          <w:tcPr>
            <w:tcW w:w="465" w:type="dxa"/>
            <w:tcBorders>
              <w:start w:val="single" w:sz="8" w:space="0" w:color="000000"/>
              <w:bottom w:val="single" w:sz="4" w:space="0" w:color="000000"/>
              <w:end w:val="single" w:sz="4" w:space="0" w:color="000000"/>
            </w:tcBorders>
            <w:vAlign w:val="bottom"/>
          </w:tcPr>
          <w:p>
            <w:pPr>
              <w:pStyle w:val="Normal"/>
              <w:jc w:val="center"/>
              <w:rPr>
                <w:rFonts w:eastAsia="Arial Unicode MS"/>
                <w:sz w:val="18"/>
              </w:rPr>
            </w:pPr>
            <w:r>
              <w:rPr>
                <w:sz w:val="18"/>
              </w:rPr>
              <w:t>1</w:t>
            </w:r>
          </w:p>
        </w:tc>
        <w:tc>
          <w:tcPr>
            <w:tcW w:w="1831" w:type="dxa"/>
            <w:tcBorders>
              <w:bottom w:val="single" w:sz="4" w:space="0" w:color="000000"/>
              <w:end w:val="single" w:sz="4" w:space="0" w:color="000000"/>
            </w:tcBorders>
            <w:vAlign w:val="bottom"/>
          </w:tcPr>
          <w:p>
            <w:pPr>
              <w:pStyle w:val="Normal"/>
              <w:rPr>
                <w:rFonts w:eastAsia="Arial Unicode MS"/>
                <w:sz w:val="18"/>
              </w:rPr>
            </w:pPr>
            <w:r>
              <w:rPr>
                <w:sz w:val="18"/>
              </w:rPr>
              <w:t>Texas A&amp;M University</w:t>
            </w:r>
          </w:p>
        </w:tc>
        <w:tc>
          <w:tcPr>
            <w:tcW w:w="1260" w:type="dxa"/>
            <w:tcBorders>
              <w:bottom w:val="single" w:sz="4" w:space="0" w:color="000000"/>
              <w:end w:val="single" w:sz="4" w:space="0" w:color="000000"/>
            </w:tcBorders>
            <w:vAlign w:val="bottom"/>
          </w:tcPr>
          <w:p>
            <w:pPr>
              <w:pStyle w:val="Normal"/>
              <w:jc w:val="center"/>
              <w:rPr>
                <w:rFonts w:eastAsia="Arial Unicode MS"/>
                <w:sz w:val="18"/>
              </w:rPr>
            </w:pPr>
            <w:r>
              <w:rPr>
                <w:sz w:val="18"/>
              </w:rPr>
              <w:t>$392,814</w:t>
            </w:r>
          </w:p>
        </w:tc>
        <w:tc>
          <w:tcPr>
            <w:tcW w:w="1710" w:type="dxa"/>
            <w:tcBorders>
              <w:bottom w:val="single" w:sz="4" w:space="0" w:color="000000"/>
              <w:end w:val="single" w:sz="4" w:space="0" w:color="000000"/>
            </w:tcBorders>
            <w:vAlign w:val="bottom"/>
          </w:tcPr>
          <w:p>
            <w:pPr>
              <w:pStyle w:val="Normal"/>
              <w:jc w:val="center"/>
              <w:rPr>
                <w:rFonts w:eastAsia="Arial Unicode MS"/>
                <w:sz w:val="18"/>
              </w:rPr>
            </w:pPr>
            <w:r>
              <w:rPr>
                <w:sz w:val="18"/>
              </w:rPr>
              <w:t>$553,852</w:t>
            </w:r>
          </w:p>
        </w:tc>
        <w:tc>
          <w:tcPr>
            <w:tcW w:w="1170" w:type="dxa"/>
            <w:tcBorders>
              <w:bottom w:val="single" w:sz="4" w:space="0" w:color="000000"/>
              <w:end w:val="single" w:sz="4" w:space="0" w:color="000000"/>
            </w:tcBorders>
            <w:vAlign w:val="bottom"/>
          </w:tcPr>
          <w:p>
            <w:pPr>
              <w:pStyle w:val="Normal"/>
              <w:jc w:val="center"/>
              <w:rPr>
                <w:rFonts w:eastAsia="Arial Unicode MS"/>
                <w:sz w:val="18"/>
              </w:rPr>
            </w:pPr>
            <w:r>
              <w:rPr>
                <w:sz w:val="18"/>
              </w:rPr>
              <w:t>71%</w:t>
            </w:r>
          </w:p>
        </w:tc>
        <w:tc>
          <w:tcPr>
            <w:tcW w:w="1139" w:type="dxa"/>
            <w:tcBorders>
              <w:bottom w:val="single" w:sz="4" w:space="0" w:color="000000"/>
              <w:end w:val="single" w:sz="4" w:space="0" w:color="000000"/>
            </w:tcBorders>
            <w:vAlign w:val="bottom"/>
          </w:tcPr>
          <w:p>
            <w:pPr>
              <w:pStyle w:val="Normal"/>
              <w:jc w:val="center"/>
              <w:rPr>
                <w:rFonts w:eastAsia="Arial Unicode MS"/>
                <w:sz w:val="18"/>
              </w:rPr>
            </w:pPr>
            <w:r>
              <w:rPr>
                <w:sz w:val="18"/>
              </w:rPr>
              <w:t>123</w:t>
            </w:r>
          </w:p>
        </w:tc>
        <w:tc>
          <w:tcPr>
            <w:tcW w:w="1021" w:type="dxa"/>
            <w:tcBorders>
              <w:bottom w:val="single" w:sz="4" w:space="0" w:color="000000"/>
              <w:end w:val="single" w:sz="8" w:space="0" w:color="000000"/>
            </w:tcBorders>
            <w:vAlign w:val="bottom"/>
          </w:tcPr>
          <w:p>
            <w:pPr>
              <w:pStyle w:val="Normal"/>
              <w:jc w:val="center"/>
              <w:rPr>
                <w:rFonts w:eastAsia="Arial Unicode MS"/>
                <w:sz w:val="18"/>
              </w:rPr>
            </w:pPr>
            <w:r>
              <w:rPr>
                <w:sz w:val="18"/>
              </w:rPr>
              <w:t>1,346,461</w:t>
            </w:r>
          </w:p>
        </w:tc>
      </w:tr>
      <w:tr>
        <w:trPr>
          <w:trHeight w:val="255" w:hRule="atLeast"/>
        </w:trPr>
        <w:tc>
          <w:tcPr>
            <w:tcW w:w="465" w:type="dxa"/>
            <w:tcBorders>
              <w:start w:val="single" w:sz="8" w:space="0" w:color="000000"/>
              <w:bottom w:val="single" w:sz="4" w:space="0" w:color="000000"/>
              <w:end w:val="single" w:sz="4" w:space="0" w:color="000000"/>
            </w:tcBorders>
            <w:vAlign w:val="bottom"/>
          </w:tcPr>
          <w:p>
            <w:pPr>
              <w:pStyle w:val="Normal"/>
              <w:jc w:val="center"/>
              <w:rPr>
                <w:rFonts w:eastAsia="Arial Unicode MS"/>
                <w:sz w:val="18"/>
              </w:rPr>
            </w:pPr>
            <w:r>
              <w:rPr>
                <w:sz w:val="18"/>
              </w:rPr>
              <w:t>2</w:t>
            </w:r>
          </w:p>
        </w:tc>
        <w:tc>
          <w:tcPr>
            <w:tcW w:w="1831" w:type="dxa"/>
            <w:tcBorders>
              <w:bottom w:val="single" w:sz="4" w:space="0" w:color="000000"/>
              <w:end w:val="single" w:sz="4" w:space="0" w:color="000000"/>
            </w:tcBorders>
            <w:vAlign w:val="bottom"/>
          </w:tcPr>
          <w:p>
            <w:pPr>
              <w:pStyle w:val="Normal"/>
              <w:rPr>
                <w:rFonts w:eastAsia="Arial Unicode MS"/>
                <w:sz w:val="18"/>
              </w:rPr>
            </w:pPr>
            <w:r>
              <w:rPr>
                <w:sz w:val="18"/>
              </w:rPr>
              <w:t>U.T. Austin</w:t>
            </w:r>
          </w:p>
        </w:tc>
        <w:tc>
          <w:tcPr>
            <w:tcW w:w="1260" w:type="dxa"/>
            <w:tcBorders>
              <w:bottom w:val="single" w:sz="4" w:space="0" w:color="000000"/>
              <w:end w:val="single" w:sz="4" w:space="0" w:color="000000"/>
            </w:tcBorders>
            <w:vAlign w:val="bottom"/>
          </w:tcPr>
          <w:p>
            <w:pPr>
              <w:pStyle w:val="Normal"/>
              <w:jc w:val="center"/>
              <w:rPr>
                <w:rFonts w:eastAsia="Arial Unicode MS"/>
                <w:sz w:val="18"/>
              </w:rPr>
            </w:pPr>
            <w:r>
              <w:rPr>
                <w:sz w:val="18"/>
              </w:rPr>
              <w:t>$2,483,123</w:t>
            </w:r>
          </w:p>
        </w:tc>
        <w:tc>
          <w:tcPr>
            <w:tcW w:w="1710" w:type="dxa"/>
            <w:tcBorders>
              <w:bottom w:val="single" w:sz="4" w:space="0" w:color="000000"/>
              <w:end w:val="single" w:sz="4" w:space="0" w:color="000000"/>
            </w:tcBorders>
            <w:vAlign w:val="bottom"/>
          </w:tcPr>
          <w:p>
            <w:pPr>
              <w:pStyle w:val="Normal"/>
              <w:jc w:val="center"/>
              <w:rPr>
                <w:rFonts w:eastAsia="Arial Unicode MS"/>
                <w:sz w:val="18"/>
              </w:rPr>
            </w:pPr>
            <w:r>
              <w:rPr>
                <w:sz w:val="18"/>
              </w:rPr>
              <w:t>$7,167,020</w:t>
            </w:r>
          </w:p>
        </w:tc>
        <w:tc>
          <w:tcPr>
            <w:tcW w:w="1170" w:type="dxa"/>
            <w:tcBorders>
              <w:bottom w:val="single" w:sz="4" w:space="0" w:color="000000"/>
              <w:end w:val="single" w:sz="4" w:space="0" w:color="000000"/>
            </w:tcBorders>
            <w:vAlign w:val="bottom"/>
          </w:tcPr>
          <w:p>
            <w:pPr>
              <w:pStyle w:val="Normal"/>
              <w:jc w:val="center"/>
              <w:rPr>
                <w:rFonts w:eastAsia="Arial Unicode MS"/>
                <w:sz w:val="18"/>
              </w:rPr>
            </w:pPr>
            <w:r>
              <w:rPr>
                <w:sz w:val="18"/>
              </w:rPr>
              <w:t>35%</w:t>
            </w:r>
          </w:p>
        </w:tc>
        <w:tc>
          <w:tcPr>
            <w:tcW w:w="1139" w:type="dxa"/>
            <w:tcBorders>
              <w:bottom w:val="single" w:sz="4" w:space="0" w:color="000000"/>
              <w:end w:val="single" w:sz="4" w:space="0" w:color="000000"/>
            </w:tcBorders>
            <w:vAlign w:val="bottom"/>
          </w:tcPr>
          <w:p>
            <w:pPr>
              <w:pStyle w:val="Normal"/>
              <w:jc w:val="center"/>
              <w:rPr>
                <w:rFonts w:eastAsia="Arial Unicode MS"/>
                <w:sz w:val="18"/>
              </w:rPr>
            </w:pPr>
            <w:r>
              <w:rPr>
                <w:sz w:val="18"/>
              </w:rPr>
              <w:t>124</w:t>
            </w:r>
          </w:p>
        </w:tc>
        <w:tc>
          <w:tcPr>
            <w:tcW w:w="1021" w:type="dxa"/>
            <w:tcBorders>
              <w:bottom w:val="single" w:sz="4" w:space="0" w:color="000000"/>
              <w:end w:val="single" w:sz="8" w:space="0" w:color="000000"/>
            </w:tcBorders>
            <w:vAlign w:val="bottom"/>
          </w:tcPr>
          <w:p>
            <w:pPr>
              <w:pStyle w:val="Normal"/>
              <w:jc w:val="center"/>
              <w:rPr>
                <w:rFonts w:eastAsia="Arial Unicode MS"/>
                <w:sz w:val="18"/>
              </w:rPr>
            </w:pPr>
            <w:r>
              <w:rPr>
                <w:sz w:val="18"/>
              </w:rPr>
              <w:t>3,248,096</w:t>
            </w:r>
          </w:p>
        </w:tc>
      </w:tr>
      <w:tr>
        <w:trPr>
          <w:trHeight w:val="255" w:hRule="atLeast"/>
        </w:trPr>
        <w:tc>
          <w:tcPr>
            <w:tcW w:w="465" w:type="dxa"/>
            <w:tcBorders>
              <w:start w:val="single" w:sz="8" w:space="0" w:color="000000"/>
              <w:bottom w:val="single" w:sz="4" w:space="0" w:color="000000"/>
              <w:end w:val="single" w:sz="4" w:space="0" w:color="000000"/>
            </w:tcBorders>
            <w:vAlign w:val="bottom"/>
          </w:tcPr>
          <w:p>
            <w:pPr>
              <w:pStyle w:val="Normal"/>
              <w:jc w:val="center"/>
              <w:rPr>
                <w:rFonts w:eastAsia="Arial Unicode MS"/>
                <w:sz w:val="18"/>
              </w:rPr>
            </w:pPr>
            <w:r>
              <w:rPr>
                <w:sz w:val="18"/>
              </w:rPr>
              <w:t>3</w:t>
            </w:r>
          </w:p>
        </w:tc>
        <w:tc>
          <w:tcPr>
            <w:tcW w:w="1831" w:type="dxa"/>
            <w:tcBorders>
              <w:bottom w:val="single" w:sz="4" w:space="0" w:color="000000"/>
              <w:end w:val="single" w:sz="4" w:space="0" w:color="000000"/>
            </w:tcBorders>
            <w:vAlign w:val="bottom"/>
          </w:tcPr>
          <w:p>
            <w:pPr>
              <w:pStyle w:val="Normal"/>
              <w:rPr>
                <w:rFonts w:eastAsia="Arial Unicode MS"/>
                <w:sz w:val="18"/>
              </w:rPr>
            </w:pPr>
            <w:r>
              <w:rPr>
                <w:sz w:val="18"/>
              </w:rPr>
              <w:t>U.T.Arlington</w:t>
            </w:r>
          </w:p>
        </w:tc>
        <w:tc>
          <w:tcPr>
            <w:tcW w:w="1260" w:type="dxa"/>
            <w:tcBorders>
              <w:bottom w:val="single" w:sz="4" w:space="0" w:color="000000"/>
              <w:end w:val="single" w:sz="4" w:space="0" w:color="000000"/>
            </w:tcBorders>
            <w:vAlign w:val="bottom"/>
          </w:tcPr>
          <w:p>
            <w:pPr>
              <w:pStyle w:val="Normal"/>
              <w:jc w:val="center"/>
              <w:rPr>
                <w:rFonts w:eastAsia="Arial Unicode MS"/>
                <w:sz w:val="18"/>
              </w:rPr>
            </w:pPr>
            <w:r>
              <w:rPr>
                <w:sz w:val="18"/>
              </w:rPr>
              <w:t>$313,531</w:t>
            </w:r>
          </w:p>
        </w:tc>
        <w:tc>
          <w:tcPr>
            <w:tcW w:w="1710" w:type="dxa"/>
            <w:tcBorders>
              <w:bottom w:val="single" w:sz="4" w:space="0" w:color="000000"/>
              <w:end w:val="single" w:sz="4" w:space="0" w:color="000000"/>
            </w:tcBorders>
            <w:vAlign w:val="bottom"/>
          </w:tcPr>
          <w:p>
            <w:pPr>
              <w:pStyle w:val="Normal"/>
              <w:jc w:val="center"/>
              <w:rPr>
                <w:rFonts w:eastAsia="Arial Unicode MS"/>
                <w:sz w:val="18"/>
              </w:rPr>
            </w:pPr>
            <w:r>
              <w:rPr>
                <w:sz w:val="18"/>
              </w:rPr>
              <w:t>$4,731,051</w:t>
            </w:r>
          </w:p>
        </w:tc>
        <w:tc>
          <w:tcPr>
            <w:tcW w:w="1170" w:type="dxa"/>
            <w:tcBorders>
              <w:bottom w:val="single" w:sz="4" w:space="0" w:color="000000"/>
              <w:end w:val="single" w:sz="4" w:space="0" w:color="000000"/>
            </w:tcBorders>
            <w:vAlign w:val="bottom"/>
          </w:tcPr>
          <w:p>
            <w:pPr>
              <w:pStyle w:val="Normal"/>
              <w:jc w:val="center"/>
              <w:rPr>
                <w:rFonts w:eastAsia="Arial Unicode MS"/>
                <w:sz w:val="18"/>
              </w:rPr>
            </w:pPr>
            <w:r>
              <w:rPr>
                <w:sz w:val="18"/>
              </w:rPr>
              <w:t>7%</w:t>
            </w:r>
          </w:p>
        </w:tc>
        <w:tc>
          <w:tcPr>
            <w:tcW w:w="1139" w:type="dxa"/>
            <w:tcBorders>
              <w:bottom w:val="single" w:sz="4" w:space="0" w:color="000000"/>
              <w:end w:val="single" w:sz="4" w:space="0" w:color="000000"/>
            </w:tcBorders>
            <w:vAlign w:val="bottom"/>
          </w:tcPr>
          <w:p>
            <w:pPr>
              <w:pStyle w:val="Normal"/>
              <w:jc w:val="center"/>
              <w:rPr>
                <w:rFonts w:eastAsia="Arial Unicode MS"/>
                <w:sz w:val="18"/>
              </w:rPr>
            </w:pPr>
            <w:r>
              <w:rPr>
                <w:sz w:val="18"/>
              </w:rPr>
              <w:t>116</w:t>
            </w:r>
          </w:p>
        </w:tc>
        <w:tc>
          <w:tcPr>
            <w:tcW w:w="1021" w:type="dxa"/>
            <w:tcBorders>
              <w:bottom w:val="single" w:sz="4" w:space="0" w:color="000000"/>
              <w:end w:val="single" w:sz="8" w:space="0" w:color="000000"/>
            </w:tcBorders>
            <w:vAlign w:val="bottom"/>
          </w:tcPr>
          <w:p>
            <w:pPr>
              <w:pStyle w:val="Normal"/>
              <w:jc w:val="center"/>
              <w:rPr>
                <w:rFonts w:eastAsia="Arial Unicode MS"/>
                <w:sz w:val="18"/>
              </w:rPr>
            </w:pPr>
            <w:r>
              <w:rPr>
                <w:sz w:val="18"/>
              </w:rPr>
              <w:t>1,445,303</w:t>
            </w:r>
          </w:p>
        </w:tc>
      </w:tr>
      <w:tr>
        <w:trPr>
          <w:trHeight w:val="255" w:hRule="atLeast"/>
        </w:trPr>
        <w:tc>
          <w:tcPr>
            <w:tcW w:w="465" w:type="dxa"/>
            <w:tcBorders>
              <w:start w:val="single" w:sz="8" w:space="0" w:color="000000"/>
              <w:bottom w:val="single" w:sz="4" w:space="0" w:color="000000"/>
              <w:end w:val="single" w:sz="4" w:space="0" w:color="000000"/>
            </w:tcBorders>
            <w:vAlign w:val="bottom"/>
          </w:tcPr>
          <w:p>
            <w:pPr>
              <w:pStyle w:val="Normal"/>
              <w:jc w:val="center"/>
              <w:rPr>
                <w:rFonts w:eastAsia="Arial Unicode MS"/>
                <w:sz w:val="18"/>
              </w:rPr>
            </w:pPr>
            <w:r>
              <w:rPr>
                <w:sz w:val="18"/>
              </w:rPr>
              <w:t>4</w:t>
            </w:r>
          </w:p>
        </w:tc>
        <w:tc>
          <w:tcPr>
            <w:tcW w:w="1831" w:type="dxa"/>
            <w:tcBorders>
              <w:bottom w:val="single" w:sz="4" w:space="0" w:color="000000"/>
              <w:end w:val="single" w:sz="4" w:space="0" w:color="000000"/>
            </w:tcBorders>
            <w:vAlign w:val="bottom"/>
          </w:tcPr>
          <w:p>
            <w:pPr>
              <w:pStyle w:val="Normal"/>
              <w:rPr>
                <w:rFonts w:eastAsia="Arial Unicode MS"/>
                <w:sz w:val="18"/>
              </w:rPr>
            </w:pPr>
            <w:r>
              <w:rPr>
                <w:sz w:val="18"/>
              </w:rPr>
              <w:t xml:space="preserve">UTHSC, Houston </w:t>
            </w:r>
          </w:p>
        </w:tc>
        <w:tc>
          <w:tcPr>
            <w:tcW w:w="1260" w:type="dxa"/>
            <w:tcBorders>
              <w:bottom w:val="single" w:sz="4" w:space="0" w:color="000000"/>
              <w:end w:val="single" w:sz="4" w:space="0" w:color="000000"/>
            </w:tcBorders>
            <w:vAlign w:val="bottom"/>
          </w:tcPr>
          <w:p>
            <w:pPr>
              <w:pStyle w:val="Normal"/>
              <w:jc w:val="center"/>
              <w:rPr>
                <w:rFonts w:eastAsia="Arial Unicode MS"/>
                <w:sz w:val="18"/>
              </w:rPr>
            </w:pPr>
            <w:r>
              <w:rPr>
                <w:sz w:val="18"/>
              </w:rPr>
              <w:t>$970,235</w:t>
            </w:r>
          </w:p>
        </w:tc>
        <w:tc>
          <w:tcPr>
            <w:tcW w:w="1710" w:type="dxa"/>
            <w:tcBorders>
              <w:bottom w:val="single" w:sz="4" w:space="0" w:color="000000"/>
              <w:end w:val="single" w:sz="4" w:space="0" w:color="000000"/>
            </w:tcBorders>
            <w:vAlign w:val="bottom"/>
          </w:tcPr>
          <w:p>
            <w:pPr>
              <w:pStyle w:val="Normal"/>
              <w:jc w:val="center"/>
              <w:rPr>
                <w:rFonts w:eastAsia="Arial Unicode MS"/>
                <w:sz w:val="18"/>
              </w:rPr>
            </w:pPr>
            <w:r>
              <w:rPr>
                <w:sz w:val="18"/>
              </w:rPr>
              <w:t>$5,587,432</w:t>
            </w:r>
          </w:p>
        </w:tc>
        <w:tc>
          <w:tcPr>
            <w:tcW w:w="1170" w:type="dxa"/>
            <w:tcBorders>
              <w:bottom w:val="single" w:sz="4" w:space="0" w:color="000000"/>
              <w:end w:val="single" w:sz="4" w:space="0" w:color="000000"/>
            </w:tcBorders>
            <w:vAlign w:val="bottom"/>
          </w:tcPr>
          <w:p>
            <w:pPr>
              <w:pStyle w:val="Normal"/>
              <w:jc w:val="center"/>
              <w:rPr>
                <w:rFonts w:eastAsia="Arial Unicode MS"/>
                <w:sz w:val="18"/>
              </w:rPr>
            </w:pPr>
            <w:r>
              <w:rPr>
                <w:sz w:val="18"/>
              </w:rPr>
              <w:t>17%</w:t>
            </w:r>
          </w:p>
        </w:tc>
        <w:tc>
          <w:tcPr>
            <w:tcW w:w="1139" w:type="dxa"/>
            <w:tcBorders>
              <w:bottom w:val="single" w:sz="4" w:space="0" w:color="000000"/>
              <w:end w:val="single" w:sz="4" w:space="0" w:color="000000"/>
            </w:tcBorders>
            <w:vAlign w:val="bottom"/>
          </w:tcPr>
          <w:p>
            <w:pPr>
              <w:pStyle w:val="Normal"/>
              <w:jc w:val="center"/>
              <w:rPr>
                <w:rFonts w:eastAsia="Arial Unicode MS"/>
                <w:sz w:val="18"/>
              </w:rPr>
            </w:pPr>
            <w:r>
              <w:rPr>
                <w:sz w:val="18"/>
              </w:rPr>
              <w:t>117</w:t>
            </w:r>
          </w:p>
        </w:tc>
        <w:tc>
          <w:tcPr>
            <w:tcW w:w="1021" w:type="dxa"/>
            <w:tcBorders>
              <w:bottom w:val="single" w:sz="4" w:space="0" w:color="000000"/>
              <w:end w:val="single" w:sz="8" w:space="0" w:color="000000"/>
            </w:tcBorders>
            <w:vAlign w:val="bottom"/>
          </w:tcPr>
          <w:p>
            <w:pPr>
              <w:pStyle w:val="Normal"/>
              <w:jc w:val="center"/>
              <w:rPr>
                <w:rFonts w:eastAsia="Arial Unicode MS"/>
                <w:sz w:val="18"/>
              </w:rPr>
            </w:pPr>
            <w:r>
              <w:rPr>
                <w:sz w:val="18"/>
              </w:rPr>
              <w:t>1,495,925</w:t>
            </w:r>
          </w:p>
        </w:tc>
      </w:tr>
      <w:tr>
        <w:trPr>
          <w:trHeight w:val="255" w:hRule="atLeast"/>
        </w:trPr>
        <w:tc>
          <w:tcPr>
            <w:tcW w:w="465" w:type="dxa"/>
            <w:tcBorders>
              <w:start w:val="single" w:sz="8" w:space="0" w:color="000000"/>
              <w:bottom w:val="single" w:sz="4" w:space="0" w:color="000000"/>
              <w:end w:val="single" w:sz="4" w:space="0" w:color="000000"/>
            </w:tcBorders>
            <w:vAlign w:val="bottom"/>
          </w:tcPr>
          <w:p>
            <w:pPr>
              <w:pStyle w:val="Normal"/>
              <w:jc w:val="center"/>
              <w:rPr>
                <w:rFonts w:eastAsia="Arial Unicode MS"/>
                <w:sz w:val="18"/>
              </w:rPr>
            </w:pPr>
            <w:r>
              <w:rPr>
                <w:sz w:val="18"/>
              </w:rPr>
              <w:t>5</w:t>
            </w:r>
          </w:p>
        </w:tc>
        <w:tc>
          <w:tcPr>
            <w:tcW w:w="1831" w:type="dxa"/>
            <w:tcBorders>
              <w:bottom w:val="single" w:sz="4" w:space="0" w:color="000000"/>
              <w:end w:val="single" w:sz="4" w:space="0" w:color="000000"/>
            </w:tcBorders>
            <w:vAlign w:val="bottom"/>
          </w:tcPr>
          <w:p>
            <w:pPr>
              <w:pStyle w:val="Normal"/>
              <w:rPr>
                <w:rFonts w:eastAsia="Arial Unicode MS"/>
                <w:sz w:val="18"/>
              </w:rPr>
            </w:pPr>
            <w:r>
              <w:rPr>
                <w:sz w:val="18"/>
              </w:rPr>
              <w:t>TDH, Austin</w:t>
            </w:r>
          </w:p>
        </w:tc>
        <w:tc>
          <w:tcPr>
            <w:tcW w:w="1260" w:type="dxa"/>
            <w:tcBorders>
              <w:bottom w:val="single" w:sz="4" w:space="0" w:color="000000"/>
              <w:end w:val="single" w:sz="4" w:space="0" w:color="000000"/>
            </w:tcBorders>
            <w:vAlign w:val="bottom"/>
          </w:tcPr>
          <w:p>
            <w:pPr>
              <w:pStyle w:val="Normal"/>
              <w:jc w:val="center"/>
              <w:rPr>
                <w:rFonts w:eastAsia="Arial Unicode MS"/>
                <w:sz w:val="18"/>
              </w:rPr>
            </w:pPr>
            <w:r>
              <w:rPr>
                <w:sz w:val="18"/>
              </w:rPr>
              <w:t>$88,785</w:t>
            </w:r>
          </w:p>
        </w:tc>
        <w:tc>
          <w:tcPr>
            <w:tcW w:w="1710" w:type="dxa"/>
            <w:tcBorders>
              <w:bottom w:val="single" w:sz="4" w:space="0" w:color="000000"/>
              <w:end w:val="single" w:sz="4" w:space="0" w:color="000000"/>
            </w:tcBorders>
            <w:vAlign w:val="bottom"/>
          </w:tcPr>
          <w:p>
            <w:pPr>
              <w:pStyle w:val="Normal"/>
              <w:jc w:val="center"/>
              <w:rPr>
                <w:rFonts w:eastAsia="Arial Unicode MS"/>
                <w:sz w:val="18"/>
              </w:rPr>
            </w:pPr>
            <w:r>
              <w:rPr>
                <w:sz w:val="18"/>
              </w:rPr>
              <w:t>$606,281</w:t>
            </w:r>
          </w:p>
        </w:tc>
        <w:tc>
          <w:tcPr>
            <w:tcW w:w="1170" w:type="dxa"/>
            <w:tcBorders>
              <w:bottom w:val="single" w:sz="4" w:space="0" w:color="000000"/>
              <w:end w:val="single" w:sz="4" w:space="0" w:color="000000"/>
            </w:tcBorders>
            <w:vAlign w:val="bottom"/>
          </w:tcPr>
          <w:p>
            <w:pPr>
              <w:pStyle w:val="Normal"/>
              <w:jc w:val="center"/>
              <w:rPr>
                <w:rFonts w:eastAsia="Arial Unicode MS"/>
                <w:sz w:val="18"/>
              </w:rPr>
            </w:pPr>
            <w:r>
              <w:rPr>
                <w:sz w:val="18"/>
              </w:rPr>
              <w:t>15%</w:t>
            </w:r>
          </w:p>
        </w:tc>
        <w:tc>
          <w:tcPr>
            <w:tcW w:w="1139" w:type="dxa"/>
            <w:tcBorders>
              <w:bottom w:val="single" w:sz="4" w:space="0" w:color="000000"/>
              <w:end w:val="single" w:sz="4" w:space="0" w:color="000000"/>
            </w:tcBorders>
            <w:vAlign w:val="bottom"/>
          </w:tcPr>
          <w:p>
            <w:pPr>
              <w:pStyle w:val="Normal"/>
              <w:jc w:val="center"/>
              <w:rPr>
                <w:rFonts w:eastAsia="Arial Unicode MS"/>
                <w:sz w:val="18"/>
              </w:rPr>
            </w:pPr>
            <w:r>
              <w:rPr>
                <w:sz w:val="18"/>
              </w:rPr>
              <w:t>102</w:t>
            </w:r>
          </w:p>
        </w:tc>
        <w:tc>
          <w:tcPr>
            <w:tcW w:w="1021" w:type="dxa"/>
            <w:tcBorders>
              <w:bottom w:val="single" w:sz="4" w:space="0" w:color="000000"/>
              <w:end w:val="single" w:sz="8" w:space="0" w:color="000000"/>
            </w:tcBorders>
            <w:vAlign w:val="bottom"/>
          </w:tcPr>
          <w:p>
            <w:pPr>
              <w:pStyle w:val="Normal"/>
              <w:jc w:val="center"/>
              <w:rPr>
                <w:rFonts w:eastAsia="Arial Unicode MS"/>
                <w:sz w:val="18"/>
              </w:rPr>
            </w:pPr>
            <w:r>
              <w:rPr>
                <w:sz w:val="18"/>
              </w:rPr>
              <w:t>284,000</w:t>
            </w:r>
          </w:p>
        </w:tc>
      </w:tr>
      <w:tr>
        <w:trPr>
          <w:trHeight w:val="255" w:hRule="atLeast"/>
        </w:trPr>
        <w:tc>
          <w:tcPr>
            <w:tcW w:w="465" w:type="dxa"/>
            <w:tcBorders>
              <w:start w:val="single" w:sz="8" w:space="0" w:color="000000"/>
              <w:bottom w:val="single" w:sz="4" w:space="0" w:color="000000"/>
              <w:end w:val="single" w:sz="4" w:space="0" w:color="000000"/>
            </w:tcBorders>
            <w:vAlign w:val="bottom"/>
          </w:tcPr>
          <w:p>
            <w:pPr>
              <w:pStyle w:val="Normal"/>
              <w:jc w:val="center"/>
              <w:rPr>
                <w:rFonts w:eastAsia="Arial Unicode MS"/>
                <w:sz w:val="18"/>
              </w:rPr>
            </w:pPr>
            <w:r>
              <w:rPr>
                <w:sz w:val="18"/>
              </w:rPr>
              <w:t>6</w:t>
            </w:r>
          </w:p>
        </w:tc>
        <w:tc>
          <w:tcPr>
            <w:tcW w:w="1831" w:type="dxa"/>
            <w:tcBorders>
              <w:bottom w:val="single" w:sz="4" w:space="0" w:color="000000"/>
              <w:end w:val="single" w:sz="4" w:space="0" w:color="000000"/>
            </w:tcBorders>
            <w:vAlign w:val="bottom"/>
          </w:tcPr>
          <w:p>
            <w:pPr>
              <w:pStyle w:val="Normal"/>
              <w:rPr>
                <w:rFonts w:eastAsia="Arial Unicode MS"/>
                <w:sz w:val="18"/>
              </w:rPr>
            </w:pPr>
            <w:r>
              <w:rPr>
                <w:sz w:val="18"/>
              </w:rPr>
              <w:t>UTMB Galveston Blgds.</w:t>
            </w:r>
          </w:p>
        </w:tc>
        <w:tc>
          <w:tcPr>
            <w:tcW w:w="1260" w:type="dxa"/>
            <w:tcBorders>
              <w:bottom w:val="single" w:sz="4" w:space="0" w:color="000000"/>
              <w:end w:val="single" w:sz="4" w:space="0" w:color="000000"/>
            </w:tcBorders>
            <w:vAlign w:val="bottom"/>
          </w:tcPr>
          <w:p>
            <w:pPr>
              <w:pStyle w:val="Normal"/>
              <w:jc w:val="center"/>
              <w:rPr>
                <w:rFonts w:eastAsia="Arial Unicode MS"/>
                <w:sz w:val="18"/>
              </w:rPr>
            </w:pPr>
            <w:r>
              <w:rPr>
                <w:sz w:val="18"/>
              </w:rPr>
              <w:t>$1,041,583</w:t>
            </w:r>
          </w:p>
        </w:tc>
        <w:tc>
          <w:tcPr>
            <w:tcW w:w="1710" w:type="dxa"/>
            <w:tcBorders>
              <w:bottom w:val="single" w:sz="4" w:space="0" w:color="000000"/>
              <w:end w:val="single" w:sz="4" w:space="0" w:color="000000"/>
            </w:tcBorders>
            <w:vAlign w:val="bottom"/>
          </w:tcPr>
          <w:p>
            <w:pPr>
              <w:pStyle w:val="Normal"/>
              <w:jc w:val="center"/>
              <w:rPr>
                <w:rFonts w:eastAsia="Arial Unicode MS"/>
                <w:sz w:val="18"/>
              </w:rPr>
            </w:pPr>
            <w:r>
              <w:rPr>
                <w:sz w:val="18"/>
              </w:rPr>
              <w:t>$3,465,689</w:t>
            </w:r>
          </w:p>
        </w:tc>
        <w:tc>
          <w:tcPr>
            <w:tcW w:w="1170" w:type="dxa"/>
            <w:tcBorders>
              <w:bottom w:val="single" w:sz="4" w:space="0" w:color="000000"/>
              <w:end w:val="single" w:sz="4" w:space="0" w:color="000000"/>
            </w:tcBorders>
            <w:vAlign w:val="bottom"/>
          </w:tcPr>
          <w:p>
            <w:pPr>
              <w:pStyle w:val="Normal"/>
              <w:jc w:val="center"/>
              <w:rPr>
                <w:rFonts w:eastAsia="Arial Unicode MS"/>
                <w:sz w:val="18"/>
              </w:rPr>
            </w:pPr>
            <w:r>
              <w:rPr>
                <w:sz w:val="18"/>
              </w:rPr>
              <w:t>30%</w:t>
            </w:r>
          </w:p>
        </w:tc>
        <w:tc>
          <w:tcPr>
            <w:tcW w:w="1139" w:type="dxa"/>
            <w:tcBorders>
              <w:bottom w:val="single" w:sz="4" w:space="0" w:color="000000"/>
              <w:end w:val="single" w:sz="4" w:space="0" w:color="000000"/>
            </w:tcBorders>
            <w:vAlign w:val="bottom"/>
          </w:tcPr>
          <w:p>
            <w:pPr>
              <w:pStyle w:val="Normal"/>
              <w:jc w:val="center"/>
              <w:rPr>
                <w:rFonts w:eastAsia="Arial Unicode MS"/>
                <w:sz w:val="18"/>
              </w:rPr>
            </w:pPr>
            <w:r>
              <w:rPr>
                <w:sz w:val="18"/>
              </w:rPr>
              <w:t>108</w:t>
            </w:r>
          </w:p>
        </w:tc>
        <w:tc>
          <w:tcPr>
            <w:tcW w:w="1021" w:type="dxa"/>
            <w:tcBorders>
              <w:bottom w:val="single" w:sz="4" w:space="0" w:color="000000"/>
              <w:end w:val="single" w:sz="8" w:space="0" w:color="000000"/>
            </w:tcBorders>
            <w:vAlign w:val="bottom"/>
          </w:tcPr>
          <w:p>
            <w:pPr>
              <w:pStyle w:val="Normal"/>
              <w:jc w:val="center"/>
              <w:rPr>
                <w:rFonts w:eastAsia="Arial Unicode MS"/>
                <w:sz w:val="18"/>
              </w:rPr>
            </w:pPr>
            <w:r>
              <w:rPr>
                <w:sz w:val="18"/>
              </w:rPr>
              <w:t>757,685</w:t>
            </w:r>
          </w:p>
        </w:tc>
      </w:tr>
      <w:tr>
        <w:trPr>
          <w:trHeight w:val="255" w:hRule="atLeast"/>
        </w:trPr>
        <w:tc>
          <w:tcPr>
            <w:tcW w:w="465" w:type="dxa"/>
            <w:tcBorders>
              <w:start w:val="single" w:sz="8" w:space="0" w:color="000000"/>
              <w:bottom w:val="single" w:sz="4" w:space="0" w:color="000000"/>
              <w:end w:val="single" w:sz="4" w:space="0" w:color="000000"/>
            </w:tcBorders>
            <w:vAlign w:val="bottom"/>
          </w:tcPr>
          <w:p>
            <w:pPr>
              <w:pStyle w:val="Normal"/>
              <w:jc w:val="center"/>
              <w:rPr>
                <w:rFonts w:eastAsia="Arial Unicode MS"/>
                <w:sz w:val="18"/>
              </w:rPr>
            </w:pPr>
            <w:r>
              <w:rPr>
                <w:sz w:val="18"/>
              </w:rPr>
              <w:t>7</w:t>
            </w:r>
          </w:p>
        </w:tc>
        <w:tc>
          <w:tcPr>
            <w:tcW w:w="1831" w:type="dxa"/>
            <w:tcBorders>
              <w:bottom w:val="single" w:sz="4" w:space="0" w:color="000000"/>
              <w:end w:val="single" w:sz="4" w:space="0" w:color="000000"/>
            </w:tcBorders>
            <w:vAlign w:val="bottom"/>
          </w:tcPr>
          <w:p>
            <w:pPr>
              <w:pStyle w:val="Normal"/>
              <w:rPr>
                <w:rFonts w:eastAsia="Arial Unicode MS"/>
                <w:sz w:val="18"/>
              </w:rPr>
            </w:pPr>
            <w:r>
              <w:rPr>
                <w:sz w:val="18"/>
              </w:rPr>
              <w:t>UNTMC (TECOM)</w:t>
            </w:r>
          </w:p>
        </w:tc>
        <w:tc>
          <w:tcPr>
            <w:tcW w:w="1260" w:type="dxa"/>
            <w:tcBorders>
              <w:bottom w:val="single" w:sz="4" w:space="0" w:color="000000"/>
              <w:end w:val="single" w:sz="4" w:space="0" w:color="000000"/>
            </w:tcBorders>
            <w:vAlign w:val="bottom"/>
          </w:tcPr>
          <w:p>
            <w:pPr>
              <w:pStyle w:val="Normal"/>
              <w:jc w:val="center"/>
              <w:rPr>
                <w:rFonts w:eastAsia="Arial Unicode MS"/>
                <w:sz w:val="18"/>
              </w:rPr>
            </w:pPr>
            <w:r>
              <w:rPr>
                <w:sz w:val="18"/>
              </w:rPr>
              <w:t>$30,643</w:t>
            </w:r>
          </w:p>
        </w:tc>
        <w:tc>
          <w:tcPr>
            <w:tcW w:w="1710" w:type="dxa"/>
            <w:tcBorders>
              <w:bottom w:val="single" w:sz="4" w:space="0" w:color="000000"/>
              <w:end w:val="single" w:sz="4" w:space="0" w:color="000000"/>
            </w:tcBorders>
            <w:vAlign w:val="bottom"/>
          </w:tcPr>
          <w:p>
            <w:pPr>
              <w:pStyle w:val="Normal"/>
              <w:jc w:val="center"/>
              <w:rPr>
                <w:rFonts w:eastAsia="Arial Unicode MS"/>
                <w:sz w:val="18"/>
              </w:rPr>
            </w:pPr>
            <w:r>
              <w:rPr>
                <w:sz w:val="18"/>
              </w:rPr>
              <w:t>$874,764</w:t>
            </w:r>
          </w:p>
        </w:tc>
        <w:tc>
          <w:tcPr>
            <w:tcW w:w="1170" w:type="dxa"/>
            <w:tcBorders>
              <w:bottom w:val="single" w:sz="4" w:space="0" w:color="000000"/>
              <w:end w:val="single" w:sz="4" w:space="0" w:color="000000"/>
            </w:tcBorders>
            <w:vAlign w:val="bottom"/>
          </w:tcPr>
          <w:p>
            <w:pPr>
              <w:pStyle w:val="Normal"/>
              <w:jc w:val="center"/>
              <w:rPr>
                <w:rFonts w:eastAsia="Arial Unicode MS"/>
                <w:sz w:val="18"/>
              </w:rPr>
            </w:pPr>
            <w:r>
              <w:rPr>
                <w:sz w:val="18"/>
              </w:rPr>
              <w:t>4%</w:t>
            </w:r>
          </w:p>
        </w:tc>
        <w:tc>
          <w:tcPr>
            <w:tcW w:w="1139" w:type="dxa"/>
            <w:tcBorders>
              <w:bottom w:val="single" w:sz="4" w:space="0" w:color="000000"/>
              <w:end w:val="single" w:sz="4" w:space="0" w:color="000000"/>
            </w:tcBorders>
            <w:vAlign w:val="bottom"/>
          </w:tcPr>
          <w:p>
            <w:pPr>
              <w:pStyle w:val="Normal"/>
              <w:jc w:val="center"/>
              <w:rPr>
                <w:rFonts w:eastAsia="Arial Unicode MS"/>
                <w:sz w:val="18"/>
              </w:rPr>
            </w:pPr>
            <w:r>
              <w:rPr>
                <w:sz w:val="18"/>
              </w:rPr>
              <w:t>104</w:t>
            </w:r>
          </w:p>
        </w:tc>
        <w:tc>
          <w:tcPr>
            <w:tcW w:w="1021" w:type="dxa"/>
            <w:tcBorders>
              <w:bottom w:val="single" w:sz="4" w:space="0" w:color="000000"/>
              <w:end w:val="single" w:sz="8" w:space="0" w:color="000000"/>
            </w:tcBorders>
            <w:vAlign w:val="bottom"/>
          </w:tcPr>
          <w:p>
            <w:pPr>
              <w:pStyle w:val="Normal"/>
              <w:jc w:val="center"/>
              <w:rPr>
                <w:rFonts w:eastAsia="Arial Unicode MS"/>
                <w:sz w:val="18"/>
              </w:rPr>
            </w:pPr>
            <w:r>
              <w:rPr>
                <w:sz w:val="18"/>
              </w:rPr>
              <w:t>496,000</w:t>
            </w:r>
          </w:p>
        </w:tc>
      </w:tr>
      <w:tr>
        <w:trPr>
          <w:trHeight w:val="255" w:hRule="atLeast"/>
        </w:trPr>
        <w:tc>
          <w:tcPr>
            <w:tcW w:w="465" w:type="dxa"/>
            <w:tcBorders>
              <w:start w:val="single" w:sz="8" w:space="0" w:color="000000"/>
              <w:bottom w:val="single" w:sz="4" w:space="0" w:color="000000"/>
              <w:end w:val="single" w:sz="4" w:space="0" w:color="000000"/>
            </w:tcBorders>
            <w:vAlign w:val="bottom"/>
          </w:tcPr>
          <w:p>
            <w:pPr>
              <w:pStyle w:val="Normal"/>
              <w:jc w:val="center"/>
              <w:rPr>
                <w:rFonts w:eastAsia="Arial Unicode MS"/>
                <w:sz w:val="18"/>
              </w:rPr>
            </w:pPr>
            <w:r>
              <w:rPr>
                <w:sz w:val="18"/>
              </w:rPr>
              <w:t>8</w:t>
            </w:r>
          </w:p>
        </w:tc>
        <w:tc>
          <w:tcPr>
            <w:tcW w:w="1831" w:type="dxa"/>
            <w:tcBorders>
              <w:bottom w:val="single" w:sz="4" w:space="0" w:color="000000"/>
              <w:end w:val="single" w:sz="4" w:space="0" w:color="000000"/>
            </w:tcBorders>
            <w:vAlign w:val="bottom"/>
          </w:tcPr>
          <w:p>
            <w:pPr>
              <w:pStyle w:val="Normal"/>
              <w:rPr>
                <w:rFonts w:eastAsia="Arial Unicode MS"/>
                <w:sz w:val="18"/>
              </w:rPr>
            </w:pPr>
            <w:r>
              <w:rPr>
                <w:sz w:val="18"/>
              </w:rPr>
              <w:t>UTMDA Cancer Cntr.</w:t>
            </w:r>
          </w:p>
        </w:tc>
        <w:tc>
          <w:tcPr>
            <w:tcW w:w="1260" w:type="dxa"/>
            <w:tcBorders>
              <w:bottom w:val="single" w:sz="4" w:space="0" w:color="000000"/>
              <w:end w:val="single" w:sz="4" w:space="0" w:color="000000"/>
            </w:tcBorders>
            <w:vAlign w:val="bottom"/>
          </w:tcPr>
          <w:p>
            <w:pPr>
              <w:pStyle w:val="Normal"/>
              <w:jc w:val="center"/>
              <w:rPr>
                <w:rFonts w:eastAsia="Arial Unicode MS"/>
                <w:sz w:val="18"/>
              </w:rPr>
            </w:pPr>
            <w:r>
              <w:rPr>
                <w:sz w:val="18"/>
              </w:rPr>
              <w:t>$2,116,550</w:t>
            </w:r>
          </w:p>
        </w:tc>
        <w:tc>
          <w:tcPr>
            <w:tcW w:w="1710" w:type="dxa"/>
            <w:tcBorders>
              <w:bottom w:val="single" w:sz="4" w:space="0" w:color="000000"/>
              <w:end w:val="single" w:sz="4" w:space="0" w:color="000000"/>
            </w:tcBorders>
            <w:vAlign w:val="bottom"/>
          </w:tcPr>
          <w:p>
            <w:pPr>
              <w:pStyle w:val="Normal"/>
              <w:jc w:val="center"/>
              <w:rPr>
                <w:rFonts w:eastAsia="Arial Unicode MS"/>
                <w:sz w:val="18"/>
              </w:rPr>
            </w:pPr>
            <w:r>
              <w:rPr>
                <w:sz w:val="18"/>
              </w:rPr>
              <w:t>$11,720,719</w:t>
            </w:r>
          </w:p>
        </w:tc>
        <w:tc>
          <w:tcPr>
            <w:tcW w:w="1170" w:type="dxa"/>
            <w:tcBorders>
              <w:bottom w:val="single" w:sz="4" w:space="0" w:color="000000"/>
              <w:end w:val="single" w:sz="4" w:space="0" w:color="000000"/>
            </w:tcBorders>
            <w:vAlign w:val="bottom"/>
          </w:tcPr>
          <w:p>
            <w:pPr>
              <w:pStyle w:val="Normal"/>
              <w:jc w:val="center"/>
              <w:rPr>
                <w:rFonts w:eastAsia="Arial Unicode MS"/>
                <w:sz w:val="18"/>
              </w:rPr>
            </w:pPr>
            <w:r>
              <w:rPr>
                <w:sz w:val="18"/>
              </w:rPr>
              <w:t>18%</w:t>
            </w:r>
          </w:p>
        </w:tc>
        <w:tc>
          <w:tcPr>
            <w:tcW w:w="1139" w:type="dxa"/>
            <w:tcBorders>
              <w:bottom w:val="single" w:sz="4" w:space="0" w:color="000000"/>
              <w:end w:val="single" w:sz="4" w:space="0" w:color="000000"/>
            </w:tcBorders>
            <w:vAlign w:val="bottom"/>
          </w:tcPr>
          <w:p>
            <w:pPr>
              <w:pStyle w:val="Normal"/>
              <w:jc w:val="center"/>
              <w:rPr>
                <w:rFonts w:eastAsia="Arial Unicode MS"/>
                <w:sz w:val="18"/>
              </w:rPr>
            </w:pPr>
            <w:r>
              <w:rPr>
                <w:sz w:val="18"/>
              </w:rPr>
              <w:t>98</w:t>
            </w:r>
          </w:p>
        </w:tc>
        <w:tc>
          <w:tcPr>
            <w:tcW w:w="1021" w:type="dxa"/>
            <w:tcBorders>
              <w:bottom w:val="single" w:sz="4" w:space="0" w:color="000000"/>
              <w:end w:val="single" w:sz="8" w:space="0" w:color="000000"/>
            </w:tcBorders>
            <w:vAlign w:val="bottom"/>
          </w:tcPr>
          <w:p>
            <w:pPr>
              <w:pStyle w:val="Normal"/>
              <w:jc w:val="center"/>
              <w:rPr>
                <w:rFonts w:eastAsia="Arial Unicode MS"/>
                <w:sz w:val="18"/>
              </w:rPr>
            </w:pPr>
            <w:r>
              <w:rPr>
                <w:sz w:val="18"/>
              </w:rPr>
              <w:t>1,522,193</w:t>
            </w:r>
          </w:p>
        </w:tc>
      </w:tr>
      <w:tr>
        <w:trPr>
          <w:trHeight w:val="255" w:hRule="atLeast"/>
        </w:trPr>
        <w:tc>
          <w:tcPr>
            <w:tcW w:w="465" w:type="dxa"/>
            <w:tcBorders>
              <w:start w:val="single" w:sz="8" w:space="0" w:color="000000"/>
              <w:bottom w:val="single" w:sz="4" w:space="0" w:color="000000"/>
              <w:end w:val="single" w:sz="4" w:space="0" w:color="000000"/>
            </w:tcBorders>
            <w:vAlign w:val="bottom"/>
          </w:tcPr>
          <w:p>
            <w:pPr>
              <w:pStyle w:val="Normal"/>
              <w:jc w:val="center"/>
              <w:rPr>
                <w:rFonts w:eastAsia="Arial Unicode MS"/>
                <w:sz w:val="18"/>
              </w:rPr>
            </w:pPr>
            <w:r>
              <w:rPr>
                <w:sz w:val="18"/>
              </w:rPr>
              <w:t>9</w:t>
            </w:r>
          </w:p>
        </w:tc>
        <w:tc>
          <w:tcPr>
            <w:tcW w:w="1831" w:type="dxa"/>
            <w:tcBorders>
              <w:bottom w:val="single" w:sz="4" w:space="0" w:color="000000"/>
              <w:end w:val="single" w:sz="4" w:space="0" w:color="000000"/>
            </w:tcBorders>
            <w:vAlign w:val="bottom"/>
          </w:tcPr>
          <w:p>
            <w:pPr>
              <w:pStyle w:val="Normal"/>
              <w:rPr>
                <w:rFonts w:eastAsia="Arial Unicode MS"/>
                <w:sz w:val="18"/>
              </w:rPr>
            </w:pPr>
            <w:r>
              <w:rPr>
                <w:sz w:val="18"/>
              </w:rPr>
              <w:t>State Capitol Complex</w:t>
            </w:r>
          </w:p>
        </w:tc>
        <w:tc>
          <w:tcPr>
            <w:tcW w:w="1260" w:type="dxa"/>
            <w:tcBorders>
              <w:bottom w:val="single" w:sz="4" w:space="0" w:color="000000"/>
              <w:end w:val="single" w:sz="4" w:space="0" w:color="000000"/>
            </w:tcBorders>
            <w:vAlign w:val="bottom"/>
          </w:tcPr>
          <w:p>
            <w:pPr>
              <w:pStyle w:val="Normal"/>
              <w:jc w:val="center"/>
              <w:rPr>
                <w:rFonts w:eastAsia="Arial Unicode MS"/>
                <w:sz w:val="18"/>
              </w:rPr>
            </w:pPr>
            <w:r>
              <w:rPr>
                <w:sz w:val="18"/>
              </w:rPr>
              <w:t>$587,975</w:t>
            </w:r>
          </w:p>
        </w:tc>
        <w:tc>
          <w:tcPr>
            <w:tcW w:w="1710" w:type="dxa"/>
            <w:tcBorders>
              <w:bottom w:val="single" w:sz="4" w:space="0" w:color="000000"/>
              <w:end w:val="single" w:sz="4" w:space="0" w:color="000000"/>
            </w:tcBorders>
            <w:vAlign w:val="bottom"/>
          </w:tcPr>
          <w:p>
            <w:pPr>
              <w:pStyle w:val="Normal"/>
              <w:jc w:val="center"/>
              <w:rPr>
                <w:rFonts w:eastAsia="Arial Unicode MS"/>
                <w:sz w:val="18"/>
              </w:rPr>
            </w:pPr>
            <w:r>
              <w:rPr>
                <w:sz w:val="18"/>
              </w:rPr>
              <w:t>$4,988,724</w:t>
            </w:r>
          </w:p>
        </w:tc>
        <w:tc>
          <w:tcPr>
            <w:tcW w:w="1170" w:type="dxa"/>
            <w:tcBorders>
              <w:bottom w:val="single" w:sz="4" w:space="0" w:color="000000"/>
              <w:end w:val="single" w:sz="4" w:space="0" w:color="000000"/>
            </w:tcBorders>
            <w:vAlign w:val="bottom"/>
          </w:tcPr>
          <w:p>
            <w:pPr>
              <w:pStyle w:val="Normal"/>
              <w:jc w:val="center"/>
              <w:rPr>
                <w:rFonts w:eastAsia="Arial Unicode MS"/>
                <w:sz w:val="18"/>
              </w:rPr>
            </w:pPr>
            <w:r>
              <w:rPr>
                <w:sz w:val="18"/>
              </w:rPr>
              <w:t>12%</w:t>
            </w:r>
          </w:p>
        </w:tc>
        <w:tc>
          <w:tcPr>
            <w:tcW w:w="1139" w:type="dxa"/>
            <w:tcBorders>
              <w:bottom w:val="single" w:sz="4" w:space="0" w:color="000000"/>
              <w:end w:val="single" w:sz="4" w:space="0" w:color="000000"/>
            </w:tcBorders>
            <w:vAlign w:val="bottom"/>
          </w:tcPr>
          <w:p>
            <w:pPr>
              <w:pStyle w:val="Normal"/>
              <w:jc w:val="center"/>
              <w:rPr>
                <w:rFonts w:eastAsia="Arial Unicode MS"/>
                <w:sz w:val="18"/>
              </w:rPr>
            </w:pPr>
            <w:r>
              <w:rPr>
                <w:sz w:val="18"/>
              </w:rPr>
              <w:t>116</w:t>
            </w:r>
          </w:p>
        </w:tc>
        <w:tc>
          <w:tcPr>
            <w:tcW w:w="1021" w:type="dxa"/>
            <w:tcBorders>
              <w:bottom w:val="single" w:sz="4" w:space="0" w:color="000000"/>
              <w:end w:val="single" w:sz="8" w:space="0" w:color="000000"/>
            </w:tcBorders>
            <w:vAlign w:val="bottom"/>
          </w:tcPr>
          <w:p>
            <w:pPr>
              <w:pStyle w:val="Normal"/>
              <w:jc w:val="center"/>
              <w:rPr>
                <w:rFonts w:eastAsia="Arial Unicode MS"/>
                <w:sz w:val="18"/>
              </w:rPr>
            </w:pPr>
            <w:r>
              <w:rPr>
                <w:sz w:val="18"/>
              </w:rPr>
              <w:t>1,935,797</w:t>
            </w:r>
          </w:p>
        </w:tc>
      </w:tr>
      <w:tr>
        <w:trPr>
          <w:trHeight w:val="255" w:hRule="atLeast"/>
        </w:trPr>
        <w:tc>
          <w:tcPr>
            <w:tcW w:w="465" w:type="dxa"/>
            <w:tcBorders>
              <w:start w:val="single" w:sz="8" w:space="0" w:color="000000"/>
              <w:bottom w:val="single" w:sz="4" w:space="0" w:color="000000"/>
              <w:end w:val="single" w:sz="4" w:space="0" w:color="000000"/>
            </w:tcBorders>
            <w:vAlign w:val="bottom"/>
          </w:tcPr>
          <w:p>
            <w:pPr>
              <w:pStyle w:val="Normal"/>
              <w:jc w:val="center"/>
              <w:rPr>
                <w:rFonts w:eastAsia="Arial Unicode MS"/>
                <w:sz w:val="18"/>
              </w:rPr>
            </w:pPr>
            <w:r>
              <w:rPr>
                <w:sz w:val="18"/>
              </w:rPr>
              <w:t>10</w:t>
            </w:r>
          </w:p>
        </w:tc>
        <w:tc>
          <w:tcPr>
            <w:tcW w:w="1831" w:type="dxa"/>
            <w:tcBorders>
              <w:bottom w:val="single" w:sz="4" w:space="0" w:color="000000"/>
              <w:end w:val="single" w:sz="4" w:space="0" w:color="000000"/>
            </w:tcBorders>
            <w:vAlign w:val="bottom"/>
          </w:tcPr>
          <w:p>
            <w:pPr>
              <w:pStyle w:val="Normal"/>
              <w:rPr>
                <w:rFonts w:eastAsia="Arial Unicode MS"/>
                <w:sz w:val="18"/>
              </w:rPr>
            </w:pPr>
            <w:r>
              <w:rPr>
                <w:sz w:val="18"/>
              </w:rPr>
              <w:t>Capitol Bldg.</w:t>
            </w:r>
          </w:p>
        </w:tc>
        <w:tc>
          <w:tcPr>
            <w:tcW w:w="1260" w:type="dxa"/>
            <w:tcBorders>
              <w:bottom w:val="single" w:sz="4" w:space="0" w:color="000000"/>
              <w:end w:val="single" w:sz="4" w:space="0" w:color="000000"/>
            </w:tcBorders>
            <w:vAlign w:val="bottom"/>
          </w:tcPr>
          <w:p>
            <w:pPr>
              <w:pStyle w:val="Normal"/>
              <w:jc w:val="center"/>
              <w:rPr>
                <w:rFonts w:eastAsia="Arial Unicode MS"/>
                <w:sz w:val="18"/>
              </w:rPr>
            </w:pPr>
            <w:r>
              <w:rPr>
                <w:sz w:val="18"/>
              </w:rPr>
              <w:t>$132,690</w:t>
            </w:r>
          </w:p>
        </w:tc>
        <w:tc>
          <w:tcPr>
            <w:tcW w:w="1710" w:type="dxa"/>
            <w:tcBorders>
              <w:bottom w:val="single" w:sz="4" w:space="0" w:color="000000"/>
              <w:end w:val="single" w:sz="4" w:space="0" w:color="000000"/>
            </w:tcBorders>
            <w:vAlign w:val="bottom"/>
          </w:tcPr>
          <w:p>
            <w:pPr>
              <w:pStyle w:val="Normal"/>
              <w:jc w:val="center"/>
              <w:rPr>
                <w:rFonts w:eastAsia="Arial Unicode MS"/>
                <w:sz w:val="18"/>
              </w:rPr>
            </w:pPr>
            <w:r>
              <w:rPr>
                <w:sz w:val="18"/>
              </w:rPr>
              <w:t>$366,996</w:t>
            </w:r>
          </w:p>
        </w:tc>
        <w:tc>
          <w:tcPr>
            <w:tcW w:w="1170" w:type="dxa"/>
            <w:tcBorders>
              <w:bottom w:val="single" w:sz="4" w:space="0" w:color="000000"/>
              <w:end w:val="single" w:sz="4" w:space="0" w:color="000000"/>
            </w:tcBorders>
            <w:vAlign w:val="bottom"/>
          </w:tcPr>
          <w:p>
            <w:pPr>
              <w:pStyle w:val="Normal"/>
              <w:jc w:val="center"/>
              <w:rPr>
                <w:rFonts w:eastAsia="Arial Unicode MS"/>
                <w:sz w:val="18"/>
              </w:rPr>
            </w:pPr>
            <w:r>
              <w:rPr>
                <w:sz w:val="18"/>
              </w:rPr>
              <w:t>36%</w:t>
            </w:r>
          </w:p>
        </w:tc>
        <w:tc>
          <w:tcPr>
            <w:tcW w:w="1139" w:type="dxa"/>
            <w:tcBorders>
              <w:bottom w:val="single" w:sz="4" w:space="0" w:color="000000"/>
              <w:end w:val="single" w:sz="4" w:space="0" w:color="000000"/>
            </w:tcBorders>
            <w:vAlign w:val="bottom"/>
          </w:tcPr>
          <w:p>
            <w:pPr>
              <w:pStyle w:val="Normal"/>
              <w:jc w:val="center"/>
              <w:rPr>
                <w:rFonts w:eastAsia="Arial Unicode MS"/>
                <w:sz w:val="18"/>
              </w:rPr>
            </w:pPr>
            <w:r>
              <w:rPr>
                <w:sz w:val="18"/>
              </w:rPr>
              <w:t>73</w:t>
            </w:r>
          </w:p>
        </w:tc>
        <w:tc>
          <w:tcPr>
            <w:tcW w:w="1021" w:type="dxa"/>
            <w:tcBorders>
              <w:bottom w:val="single" w:sz="4" w:space="0" w:color="000000"/>
              <w:end w:val="single" w:sz="8" w:space="0" w:color="000000"/>
            </w:tcBorders>
            <w:vAlign w:val="bottom"/>
          </w:tcPr>
          <w:p>
            <w:pPr>
              <w:pStyle w:val="Normal"/>
              <w:jc w:val="center"/>
              <w:rPr>
                <w:rFonts w:eastAsia="Arial Unicode MS"/>
                <w:sz w:val="18"/>
              </w:rPr>
            </w:pPr>
            <w:r>
              <w:rPr>
                <w:sz w:val="18"/>
              </w:rPr>
              <w:t>282,499</w:t>
            </w:r>
          </w:p>
        </w:tc>
      </w:tr>
      <w:tr>
        <w:trPr>
          <w:trHeight w:val="255" w:hRule="atLeast"/>
        </w:trPr>
        <w:tc>
          <w:tcPr>
            <w:tcW w:w="465" w:type="dxa"/>
            <w:tcBorders>
              <w:start w:val="single" w:sz="8" w:space="0" w:color="000000"/>
              <w:bottom w:val="single" w:sz="4" w:space="0" w:color="000000"/>
              <w:end w:val="single" w:sz="4" w:space="0" w:color="000000"/>
            </w:tcBorders>
            <w:vAlign w:val="bottom"/>
          </w:tcPr>
          <w:p>
            <w:pPr>
              <w:pStyle w:val="Normal"/>
              <w:jc w:val="center"/>
              <w:rPr>
                <w:rFonts w:eastAsia="Arial Unicode MS"/>
                <w:sz w:val="18"/>
              </w:rPr>
            </w:pPr>
            <w:r>
              <w:rPr>
                <w:sz w:val="18"/>
              </w:rPr>
              <w:t>11</w:t>
            </w:r>
          </w:p>
        </w:tc>
        <w:tc>
          <w:tcPr>
            <w:tcW w:w="1831" w:type="dxa"/>
            <w:tcBorders>
              <w:bottom w:val="single" w:sz="4" w:space="0" w:color="000000"/>
              <w:end w:val="single" w:sz="4" w:space="0" w:color="000000"/>
            </w:tcBorders>
            <w:vAlign w:val="bottom"/>
          </w:tcPr>
          <w:p>
            <w:pPr>
              <w:pStyle w:val="Normal"/>
              <w:rPr>
                <w:rFonts w:eastAsia="Arial Unicode MS"/>
                <w:sz w:val="18"/>
              </w:rPr>
            </w:pPr>
            <w:r>
              <w:rPr>
                <w:sz w:val="18"/>
              </w:rPr>
              <w:t>Capitol Extension</w:t>
            </w:r>
          </w:p>
        </w:tc>
        <w:tc>
          <w:tcPr>
            <w:tcW w:w="1260" w:type="dxa"/>
            <w:tcBorders>
              <w:bottom w:val="single" w:sz="4" w:space="0" w:color="000000"/>
              <w:end w:val="single" w:sz="4" w:space="0" w:color="000000"/>
            </w:tcBorders>
            <w:vAlign w:val="bottom"/>
          </w:tcPr>
          <w:p>
            <w:pPr>
              <w:pStyle w:val="Normal"/>
              <w:jc w:val="center"/>
              <w:rPr>
                <w:rFonts w:eastAsia="Arial Unicode MS"/>
                <w:sz w:val="18"/>
              </w:rPr>
            </w:pPr>
            <w:r>
              <w:rPr>
                <w:sz w:val="18"/>
              </w:rPr>
              <w:t>$129,362</w:t>
            </w:r>
          </w:p>
        </w:tc>
        <w:tc>
          <w:tcPr>
            <w:tcW w:w="1710" w:type="dxa"/>
            <w:tcBorders>
              <w:bottom w:val="single" w:sz="4" w:space="0" w:color="000000"/>
              <w:end w:val="single" w:sz="4" w:space="0" w:color="000000"/>
            </w:tcBorders>
            <w:vAlign w:val="bottom"/>
          </w:tcPr>
          <w:p>
            <w:pPr>
              <w:pStyle w:val="Normal"/>
              <w:jc w:val="center"/>
              <w:rPr>
                <w:rFonts w:eastAsia="Arial Unicode MS"/>
                <w:sz w:val="18"/>
              </w:rPr>
            </w:pPr>
            <w:r>
              <w:rPr>
                <w:sz w:val="18"/>
              </w:rPr>
              <w:t>$408,625</w:t>
            </w:r>
          </w:p>
        </w:tc>
        <w:tc>
          <w:tcPr>
            <w:tcW w:w="1170" w:type="dxa"/>
            <w:tcBorders>
              <w:bottom w:val="single" w:sz="4" w:space="0" w:color="000000"/>
              <w:end w:val="single" w:sz="4" w:space="0" w:color="000000"/>
            </w:tcBorders>
            <w:vAlign w:val="bottom"/>
          </w:tcPr>
          <w:p>
            <w:pPr>
              <w:pStyle w:val="Normal"/>
              <w:jc w:val="center"/>
              <w:rPr>
                <w:rFonts w:eastAsia="Arial Unicode MS"/>
                <w:sz w:val="18"/>
              </w:rPr>
            </w:pPr>
            <w:r>
              <w:rPr>
                <w:sz w:val="18"/>
              </w:rPr>
              <w:t>32%</w:t>
            </w:r>
          </w:p>
        </w:tc>
        <w:tc>
          <w:tcPr>
            <w:tcW w:w="1139" w:type="dxa"/>
            <w:tcBorders>
              <w:bottom w:val="single" w:sz="4" w:space="0" w:color="000000"/>
              <w:end w:val="single" w:sz="4" w:space="0" w:color="000000"/>
            </w:tcBorders>
            <w:vAlign w:val="bottom"/>
          </w:tcPr>
          <w:p>
            <w:pPr>
              <w:pStyle w:val="Normal"/>
              <w:jc w:val="center"/>
              <w:rPr>
                <w:rFonts w:eastAsia="Arial Unicode MS"/>
                <w:sz w:val="18"/>
              </w:rPr>
            </w:pPr>
            <w:r>
              <w:rPr>
                <w:sz w:val="18"/>
              </w:rPr>
              <w:t>85</w:t>
            </w:r>
          </w:p>
        </w:tc>
        <w:tc>
          <w:tcPr>
            <w:tcW w:w="1021" w:type="dxa"/>
            <w:tcBorders>
              <w:bottom w:val="single" w:sz="4" w:space="0" w:color="000000"/>
              <w:end w:val="single" w:sz="8" w:space="0" w:color="000000"/>
            </w:tcBorders>
            <w:vAlign w:val="bottom"/>
          </w:tcPr>
          <w:p>
            <w:pPr>
              <w:pStyle w:val="Normal"/>
              <w:jc w:val="center"/>
              <w:rPr>
                <w:rFonts w:eastAsia="Arial Unicode MS"/>
                <w:sz w:val="18"/>
              </w:rPr>
            </w:pPr>
            <w:r>
              <w:rPr>
                <w:sz w:val="18"/>
              </w:rPr>
              <w:t>592,781</w:t>
            </w:r>
          </w:p>
        </w:tc>
      </w:tr>
      <w:tr>
        <w:trPr>
          <w:trHeight w:val="255" w:hRule="atLeast"/>
        </w:trPr>
        <w:tc>
          <w:tcPr>
            <w:tcW w:w="465" w:type="dxa"/>
            <w:tcBorders>
              <w:start w:val="single" w:sz="8" w:space="0" w:color="000000"/>
              <w:bottom w:val="single" w:sz="4" w:space="0" w:color="000000"/>
              <w:end w:val="single" w:sz="4" w:space="0" w:color="000000"/>
            </w:tcBorders>
            <w:vAlign w:val="bottom"/>
          </w:tcPr>
          <w:p>
            <w:pPr>
              <w:pStyle w:val="Normal"/>
              <w:jc w:val="center"/>
              <w:rPr>
                <w:rFonts w:eastAsia="Arial Unicode MS"/>
                <w:sz w:val="18"/>
              </w:rPr>
            </w:pPr>
            <w:r>
              <w:rPr>
                <w:sz w:val="18"/>
              </w:rPr>
              <w:t>12</w:t>
            </w:r>
          </w:p>
        </w:tc>
        <w:tc>
          <w:tcPr>
            <w:tcW w:w="1831" w:type="dxa"/>
            <w:tcBorders>
              <w:bottom w:val="single" w:sz="4" w:space="0" w:color="000000"/>
              <w:end w:val="single" w:sz="4" w:space="0" w:color="000000"/>
            </w:tcBorders>
            <w:vAlign w:val="bottom"/>
          </w:tcPr>
          <w:p>
            <w:pPr>
              <w:pStyle w:val="Normal"/>
              <w:rPr>
                <w:rFonts w:eastAsia="Arial Unicode MS"/>
                <w:sz w:val="18"/>
              </w:rPr>
            </w:pPr>
            <w:r>
              <w:rPr>
                <w:sz w:val="18"/>
              </w:rPr>
              <w:t>MHMR, Austin</w:t>
            </w:r>
          </w:p>
        </w:tc>
        <w:tc>
          <w:tcPr>
            <w:tcW w:w="1260" w:type="dxa"/>
            <w:tcBorders>
              <w:bottom w:val="single" w:sz="4" w:space="0" w:color="000000"/>
              <w:end w:val="single" w:sz="4" w:space="0" w:color="000000"/>
            </w:tcBorders>
            <w:vAlign w:val="bottom"/>
          </w:tcPr>
          <w:p>
            <w:pPr>
              <w:pStyle w:val="Normal"/>
              <w:jc w:val="center"/>
              <w:rPr>
                <w:rFonts w:eastAsia="Arial Unicode MS"/>
                <w:sz w:val="18"/>
              </w:rPr>
            </w:pPr>
            <w:r>
              <w:rPr>
                <w:sz w:val="18"/>
              </w:rPr>
              <w:t>$44,348</w:t>
            </w:r>
          </w:p>
        </w:tc>
        <w:tc>
          <w:tcPr>
            <w:tcW w:w="1710" w:type="dxa"/>
            <w:tcBorders>
              <w:bottom w:val="single" w:sz="4" w:space="0" w:color="000000"/>
              <w:end w:val="single" w:sz="4" w:space="0" w:color="000000"/>
            </w:tcBorders>
            <w:vAlign w:val="bottom"/>
          </w:tcPr>
          <w:p>
            <w:pPr>
              <w:pStyle w:val="Normal"/>
              <w:jc w:val="center"/>
              <w:rPr>
                <w:rFonts w:eastAsia="Arial Unicode MS"/>
                <w:sz w:val="18"/>
              </w:rPr>
            </w:pPr>
            <w:r>
              <w:rPr>
                <w:sz w:val="18"/>
              </w:rPr>
              <w:t>$1,335,063</w:t>
            </w:r>
          </w:p>
        </w:tc>
        <w:tc>
          <w:tcPr>
            <w:tcW w:w="1170" w:type="dxa"/>
            <w:tcBorders>
              <w:bottom w:val="single" w:sz="4" w:space="0" w:color="000000"/>
              <w:end w:val="single" w:sz="4" w:space="0" w:color="000000"/>
            </w:tcBorders>
            <w:vAlign w:val="bottom"/>
          </w:tcPr>
          <w:p>
            <w:pPr>
              <w:pStyle w:val="Normal"/>
              <w:jc w:val="center"/>
              <w:rPr>
                <w:rFonts w:eastAsia="Arial Unicode MS"/>
                <w:sz w:val="18"/>
              </w:rPr>
            </w:pPr>
            <w:r>
              <w:rPr>
                <w:sz w:val="18"/>
              </w:rPr>
              <w:t>3%</w:t>
            </w:r>
          </w:p>
        </w:tc>
        <w:tc>
          <w:tcPr>
            <w:tcW w:w="1139" w:type="dxa"/>
            <w:tcBorders>
              <w:bottom w:val="single" w:sz="4" w:space="0" w:color="000000"/>
              <w:end w:val="single" w:sz="4" w:space="0" w:color="000000"/>
            </w:tcBorders>
            <w:vAlign w:val="bottom"/>
          </w:tcPr>
          <w:p>
            <w:pPr>
              <w:pStyle w:val="Normal"/>
              <w:jc w:val="center"/>
              <w:rPr>
                <w:rFonts w:eastAsia="Arial Unicode MS"/>
                <w:sz w:val="18"/>
              </w:rPr>
            </w:pPr>
            <w:r>
              <w:rPr>
                <w:sz w:val="18"/>
              </w:rPr>
              <w:t>91</w:t>
            </w:r>
          </w:p>
        </w:tc>
        <w:tc>
          <w:tcPr>
            <w:tcW w:w="1021" w:type="dxa"/>
            <w:tcBorders>
              <w:bottom w:val="single" w:sz="4" w:space="0" w:color="000000"/>
              <w:end w:val="single" w:sz="8" w:space="0" w:color="000000"/>
            </w:tcBorders>
            <w:vAlign w:val="bottom"/>
          </w:tcPr>
          <w:p>
            <w:pPr>
              <w:pStyle w:val="Normal"/>
              <w:jc w:val="center"/>
              <w:rPr>
                <w:rFonts w:eastAsia="Arial Unicode MS"/>
                <w:sz w:val="18"/>
              </w:rPr>
            </w:pPr>
            <w:r>
              <w:rPr>
                <w:sz w:val="18"/>
              </w:rPr>
              <w:t>845,435</w:t>
            </w:r>
          </w:p>
        </w:tc>
      </w:tr>
      <w:tr>
        <w:trPr>
          <w:trHeight w:val="255" w:hRule="atLeast"/>
        </w:trPr>
        <w:tc>
          <w:tcPr>
            <w:tcW w:w="465" w:type="dxa"/>
            <w:tcBorders>
              <w:start w:val="single" w:sz="8" w:space="0" w:color="000000"/>
              <w:bottom w:val="single" w:sz="4" w:space="0" w:color="000000"/>
              <w:end w:val="single" w:sz="4" w:space="0" w:color="000000"/>
            </w:tcBorders>
            <w:vAlign w:val="bottom"/>
          </w:tcPr>
          <w:p>
            <w:pPr>
              <w:pStyle w:val="Normal"/>
              <w:jc w:val="center"/>
              <w:rPr>
                <w:rFonts w:eastAsia="Arial Unicode MS"/>
                <w:sz w:val="18"/>
              </w:rPr>
            </w:pPr>
            <w:r>
              <w:rPr>
                <w:sz w:val="18"/>
              </w:rPr>
              <w:t>13</w:t>
            </w:r>
          </w:p>
        </w:tc>
        <w:tc>
          <w:tcPr>
            <w:tcW w:w="1831" w:type="dxa"/>
            <w:tcBorders>
              <w:bottom w:val="single" w:sz="4" w:space="0" w:color="000000"/>
              <w:end w:val="single" w:sz="4" w:space="0" w:color="000000"/>
            </w:tcBorders>
            <w:vAlign w:val="bottom"/>
          </w:tcPr>
          <w:p>
            <w:pPr>
              <w:pStyle w:val="Normal"/>
              <w:rPr>
                <w:rFonts w:eastAsia="Arial Unicode MS"/>
                <w:sz w:val="18"/>
              </w:rPr>
            </w:pPr>
            <w:r>
              <w:rPr>
                <w:sz w:val="18"/>
              </w:rPr>
              <w:t>UTHSC San Antonio</w:t>
            </w:r>
          </w:p>
        </w:tc>
        <w:tc>
          <w:tcPr>
            <w:tcW w:w="1260" w:type="dxa"/>
            <w:tcBorders>
              <w:bottom w:val="single" w:sz="4" w:space="0" w:color="000000"/>
              <w:end w:val="single" w:sz="4" w:space="0" w:color="000000"/>
            </w:tcBorders>
            <w:vAlign w:val="bottom"/>
          </w:tcPr>
          <w:p>
            <w:pPr>
              <w:pStyle w:val="Normal"/>
              <w:jc w:val="center"/>
              <w:rPr>
                <w:rFonts w:eastAsia="Arial Unicode MS"/>
                <w:sz w:val="18"/>
              </w:rPr>
            </w:pPr>
            <w:r>
              <w:rPr>
                <w:sz w:val="18"/>
              </w:rPr>
              <w:t>$84,899</w:t>
            </w:r>
          </w:p>
        </w:tc>
        <w:tc>
          <w:tcPr>
            <w:tcW w:w="1710" w:type="dxa"/>
            <w:tcBorders>
              <w:bottom w:val="single" w:sz="4" w:space="0" w:color="000000"/>
              <w:end w:val="single" w:sz="4" w:space="0" w:color="000000"/>
            </w:tcBorders>
            <w:vAlign w:val="bottom"/>
          </w:tcPr>
          <w:p>
            <w:pPr>
              <w:pStyle w:val="Normal"/>
              <w:jc w:val="center"/>
              <w:rPr>
                <w:rFonts w:eastAsia="Arial Unicode MS"/>
                <w:sz w:val="18"/>
              </w:rPr>
            </w:pPr>
            <w:r>
              <w:rPr>
                <w:sz w:val="18"/>
              </w:rPr>
              <w:t>$4,970,928</w:t>
            </w:r>
          </w:p>
        </w:tc>
        <w:tc>
          <w:tcPr>
            <w:tcW w:w="1170" w:type="dxa"/>
            <w:tcBorders>
              <w:bottom w:val="single" w:sz="4" w:space="0" w:color="000000"/>
              <w:end w:val="single" w:sz="4" w:space="0" w:color="000000"/>
            </w:tcBorders>
            <w:vAlign w:val="bottom"/>
          </w:tcPr>
          <w:p>
            <w:pPr>
              <w:pStyle w:val="Normal"/>
              <w:jc w:val="center"/>
              <w:rPr>
                <w:rFonts w:eastAsia="Arial Unicode MS"/>
                <w:sz w:val="18"/>
              </w:rPr>
            </w:pPr>
            <w:r>
              <w:rPr>
                <w:sz w:val="18"/>
              </w:rPr>
              <w:t>2%</w:t>
            </w:r>
          </w:p>
        </w:tc>
        <w:tc>
          <w:tcPr>
            <w:tcW w:w="1139" w:type="dxa"/>
            <w:tcBorders>
              <w:bottom w:val="single" w:sz="4" w:space="0" w:color="000000"/>
              <w:end w:val="single" w:sz="4" w:space="0" w:color="000000"/>
            </w:tcBorders>
            <w:vAlign w:val="bottom"/>
          </w:tcPr>
          <w:p>
            <w:pPr>
              <w:pStyle w:val="Normal"/>
              <w:jc w:val="center"/>
              <w:rPr>
                <w:rFonts w:eastAsia="Arial Unicode MS"/>
                <w:sz w:val="18"/>
              </w:rPr>
            </w:pPr>
            <w:r>
              <w:rPr>
                <w:sz w:val="18"/>
              </w:rPr>
              <w:t>70</w:t>
            </w:r>
          </w:p>
        </w:tc>
        <w:tc>
          <w:tcPr>
            <w:tcW w:w="1021" w:type="dxa"/>
            <w:tcBorders>
              <w:bottom w:val="single" w:sz="4" w:space="0" w:color="000000"/>
              <w:end w:val="single" w:sz="8" w:space="0" w:color="000000"/>
            </w:tcBorders>
            <w:vAlign w:val="bottom"/>
          </w:tcPr>
          <w:p>
            <w:pPr>
              <w:pStyle w:val="Normal"/>
              <w:jc w:val="center"/>
              <w:rPr>
                <w:rFonts w:eastAsia="Arial Unicode MS"/>
                <w:sz w:val="18"/>
              </w:rPr>
            </w:pPr>
            <w:r>
              <w:rPr>
                <w:sz w:val="18"/>
              </w:rPr>
              <w:t>1,090,116</w:t>
            </w:r>
          </w:p>
        </w:tc>
      </w:tr>
      <w:tr>
        <w:trPr>
          <w:trHeight w:val="255" w:hRule="atLeast"/>
        </w:trPr>
        <w:tc>
          <w:tcPr>
            <w:tcW w:w="465" w:type="dxa"/>
            <w:tcBorders>
              <w:start w:val="single" w:sz="8" w:space="0" w:color="000000"/>
              <w:bottom w:val="single" w:sz="4" w:space="0" w:color="000000"/>
              <w:end w:val="single" w:sz="4" w:space="0" w:color="000000"/>
            </w:tcBorders>
            <w:vAlign w:val="bottom"/>
          </w:tcPr>
          <w:p>
            <w:pPr>
              <w:pStyle w:val="Normal"/>
              <w:jc w:val="center"/>
              <w:rPr>
                <w:rFonts w:eastAsia="Arial Unicode MS"/>
                <w:sz w:val="18"/>
              </w:rPr>
            </w:pPr>
            <w:r>
              <w:rPr>
                <w:sz w:val="18"/>
              </w:rPr>
              <w:t>14</w:t>
            </w:r>
          </w:p>
        </w:tc>
        <w:tc>
          <w:tcPr>
            <w:tcW w:w="1831" w:type="dxa"/>
            <w:tcBorders>
              <w:bottom w:val="single" w:sz="4" w:space="0" w:color="000000"/>
              <w:end w:val="single" w:sz="4" w:space="0" w:color="000000"/>
            </w:tcBorders>
            <w:vAlign w:val="bottom"/>
          </w:tcPr>
          <w:p>
            <w:pPr>
              <w:pStyle w:val="Normal"/>
              <w:rPr>
                <w:rFonts w:eastAsia="Arial Unicode MS"/>
                <w:sz w:val="18"/>
              </w:rPr>
            </w:pPr>
            <w:r>
              <w:rPr>
                <w:sz w:val="18"/>
              </w:rPr>
              <w:t>UTD</w:t>
            </w:r>
          </w:p>
        </w:tc>
        <w:tc>
          <w:tcPr>
            <w:tcW w:w="1260" w:type="dxa"/>
            <w:tcBorders>
              <w:bottom w:val="single" w:sz="4" w:space="0" w:color="000000"/>
              <w:end w:val="single" w:sz="4" w:space="0" w:color="000000"/>
            </w:tcBorders>
            <w:vAlign w:val="bottom"/>
          </w:tcPr>
          <w:p>
            <w:pPr>
              <w:pStyle w:val="Normal"/>
              <w:jc w:val="center"/>
              <w:rPr>
                <w:rFonts w:eastAsia="Arial Unicode MS"/>
                <w:sz w:val="18"/>
              </w:rPr>
            </w:pPr>
            <w:r>
              <w:rPr>
                <w:sz w:val="18"/>
              </w:rPr>
              <w:t>$55,961</w:t>
            </w:r>
          </w:p>
        </w:tc>
        <w:tc>
          <w:tcPr>
            <w:tcW w:w="1710" w:type="dxa"/>
            <w:tcBorders>
              <w:bottom w:val="single" w:sz="4" w:space="0" w:color="000000"/>
              <w:end w:val="single" w:sz="4" w:space="0" w:color="000000"/>
            </w:tcBorders>
            <w:vAlign w:val="bottom"/>
          </w:tcPr>
          <w:p>
            <w:pPr>
              <w:pStyle w:val="Normal"/>
              <w:jc w:val="center"/>
              <w:rPr>
                <w:rFonts w:eastAsia="Arial Unicode MS"/>
                <w:sz w:val="18"/>
              </w:rPr>
            </w:pPr>
            <w:r>
              <w:rPr>
                <w:sz w:val="18"/>
              </w:rPr>
              <w:t>$1,161,301</w:t>
            </w:r>
          </w:p>
        </w:tc>
        <w:tc>
          <w:tcPr>
            <w:tcW w:w="1170" w:type="dxa"/>
            <w:tcBorders>
              <w:bottom w:val="single" w:sz="4" w:space="0" w:color="000000"/>
              <w:end w:val="single" w:sz="4" w:space="0" w:color="000000"/>
            </w:tcBorders>
            <w:vAlign w:val="bottom"/>
          </w:tcPr>
          <w:p>
            <w:pPr>
              <w:pStyle w:val="Normal"/>
              <w:jc w:val="center"/>
              <w:rPr>
                <w:rFonts w:eastAsia="Arial Unicode MS"/>
                <w:sz w:val="18"/>
              </w:rPr>
            </w:pPr>
            <w:r>
              <w:rPr>
                <w:sz w:val="18"/>
              </w:rPr>
              <w:t>5%</w:t>
            </w:r>
          </w:p>
        </w:tc>
        <w:tc>
          <w:tcPr>
            <w:tcW w:w="1139" w:type="dxa"/>
            <w:tcBorders>
              <w:bottom w:val="single" w:sz="4" w:space="0" w:color="000000"/>
              <w:end w:val="single" w:sz="4" w:space="0" w:color="000000"/>
            </w:tcBorders>
            <w:vAlign w:val="bottom"/>
          </w:tcPr>
          <w:p>
            <w:pPr>
              <w:pStyle w:val="Normal"/>
              <w:jc w:val="center"/>
              <w:rPr>
                <w:rFonts w:eastAsia="Arial Unicode MS"/>
                <w:sz w:val="18"/>
              </w:rPr>
            </w:pPr>
            <w:r>
              <w:rPr>
                <w:sz w:val="18"/>
              </w:rPr>
              <w:t>77</w:t>
            </w:r>
          </w:p>
        </w:tc>
        <w:tc>
          <w:tcPr>
            <w:tcW w:w="1021" w:type="dxa"/>
            <w:tcBorders>
              <w:bottom w:val="single" w:sz="4" w:space="0" w:color="000000"/>
              <w:end w:val="single" w:sz="8" w:space="0" w:color="000000"/>
            </w:tcBorders>
            <w:vAlign w:val="bottom"/>
          </w:tcPr>
          <w:p>
            <w:pPr>
              <w:pStyle w:val="Normal"/>
              <w:jc w:val="center"/>
              <w:rPr>
                <w:rFonts w:eastAsia="Arial Unicode MS"/>
                <w:sz w:val="18"/>
              </w:rPr>
            </w:pPr>
            <w:r>
              <w:rPr>
                <w:sz w:val="18"/>
              </w:rPr>
              <w:t>481,549</w:t>
            </w:r>
          </w:p>
        </w:tc>
      </w:tr>
      <w:tr>
        <w:trPr>
          <w:trHeight w:val="255" w:hRule="atLeast"/>
        </w:trPr>
        <w:tc>
          <w:tcPr>
            <w:tcW w:w="465" w:type="dxa"/>
            <w:tcBorders>
              <w:start w:val="single" w:sz="8" w:space="0" w:color="000000"/>
              <w:bottom w:val="single" w:sz="4" w:space="0" w:color="000000"/>
              <w:end w:val="single" w:sz="4" w:space="0" w:color="000000"/>
            </w:tcBorders>
            <w:vAlign w:val="bottom"/>
          </w:tcPr>
          <w:p>
            <w:pPr>
              <w:pStyle w:val="Normal"/>
              <w:jc w:val="center"/>
              <w:rPr>
                <w:rFonts w:eastAsia="Arial Unicode MS"/>
                <w:sz w:val="18"/>
              </w:rPr>
            </w:pPr>
            <w:r>
              <w:rPr>
                <w:sz w:val="18"/>
              </w:rPr>
              <w:t>15</w:t>
            </w:r>
          </w:p>
        </w:tc>
        <w:tc>
          <w:tcPr>
            <w:tcW w:w="1831" w:type="dxa"/>
            <w:tcBorders>
              <w:bottom w:val="single" w:sz="4" w:space="0" w:color="000000"/>
              <w:end w:val="single" w:sz="4" w:space="0" w:color="000000"/>
            </w:tcBorders>
            <w:vAlign w:val="bottom"/>
          </w:tcPr>
          <w:p>
            <w:pPr>
              <w:pStyle w:val="Normal"/>
              <w:rPr>
                <w:rFonts w:eastAsia="Arial Unicode MS"/>
                <w:sz w:val="18"/>
              </w:rPr>
            </w:pPr>
            <w:r>
              <w:rPr>
                <w:sz w:val="18"/>
              </w:rPr>
              <w:t>College of Mainland</w:t>
            </w:r>
          </w:p>
        </w:tc>
        <w:tc>
          <w:tcPr>
            <w:tcW w:w="1260" w:type="dxa"/>
            <w:tcBorders>
              <w:bottom w:val="single" w:sz="4" w:space="0" w:color="000000"/>
              <w:end w:val="single" w:sz="4" w:space="0" w:color="000000"/>
            </w:tcBorders>
            <w:vAlign w:val="bottom"/>
          </w:tcPr>
          <w:p>
            <w:pPr>
              <w:pStyle w:val="Normal"/>
              <w:jc w:val="center"/>
              <w:rPr>
                <w:rFonts w:eastAsia="Arial Unicode MS"/>
                <w:sz w:val="18"/>
              </w:rPr>
            </w:pPr>
            <w:r>
              <w:rPr>
                <w:sz w:val="18"/>
              </w:rPr>
              <w:t>$233,581</w:t>
            </w:r>
          </w:p>
        </w:tc>
        <w:tc>
          <w:tcPr>
            <w:tcW w:w="1710" w:type="dxa"/>
            <w:tcBorders>
              <w:bottom w:val="single" w:sz="4" w:space="0" w:color="000000"/>
              <w:end w:val="single" w:sz="4" w:space="0" w:color="000000"/>
            </w:tcBorders>
            <w:vAlign w:val="bottom"/>
          </w:tcPr>
          <w:p>
            <w:pPr>
              <w:pStyle w:val="Normal"/>
              <w:jc w:val="center"/>
              <w:rPr>
                <w:rFonts w:eastAsia="Arial Unicode MS"/>
                <w:sz w:val="18"/>
              </w:rPr>
            </w:pPr>
            <w:r>
              <w:rPr>
                <w:sz w:val="18"/>
              </w:rPr>
              <w:t>$732,603</w:t>
            </w:r>
          </w:p>
        </w:tc>
        <w:tc>
          <w:tcPr>
            <w:tcW w:w="1170" w:type="dxa"/>
            <w:tcBorders>
              <w:bottom w:val="single" w:sz="4" w:space="0" w:color="000000"/>
              <w:end w:val="single" w:sz="4" w:space="0" w:color="000000"/>
            </w:tcBorders>
            <w:vAlign w:val="bottom"/>
          </w:tcPr>
          <w:p>
            <w:pPr>
              <w:pStyle w:val="Normal"/>
              <w:jc w:val="center"/>
              <w:rPr>
                <w:rFonts w:eastAsia="Arial Unicode MS"/>
                <w:sz w:val="18"/>
              </w:rPr>
            </w:pPr>
            <w:r>
              <w:rPr>
                <w:sz w:val="18"/>
              </w:rPr>
              <w:t>32%</w:t>
            </w:r>
          </w:p>
        </w:tc>
        <w:tc>
          <w:tcPr>
            <w:tcW w:w="1139" w:type="dxa"/>
            <w:tcBorders>
              <w:bottom w:val="single" w:sz="4" w:space="0" w:color="000000"/>
              <w:end w:val="single" w:sz="4" w:space="0" w:color="000000"/>
            </w:tcBorders>
            <w:vAlign w:val="bottom"/>
          </w:tcPr>
          <w:p>
            <w:pPr>
              <w:pStyle w:val="Normal"/>
              <w:jc w:val="center"/>
              <w:rPr>
                <w:rFonts w:eastAsia="Arial Unicode MS"/>
                <w:sz w:val="18"/>
              </w:rPr>
            </w:pPr>
            <w:r>
              <w:rPr>
                <w:sz w:val="18"/>
              </w:rPr>
              <w:t>77</w:t>
            </w:r>
          </w:p>
        </w:tc>
        <w:tc>
          <w:tcPr>
            <w:tcW w:w="1021" w:type="dxa"/>
            <w:tcBorders>
              <w:bottom w:val="single" w:sz="4" w:space="0" w:color="000000"/>
              <w:end w:val="single" w:sz="8" w:space="0" w:color="000000"/>
            </w:tcBorders>
            <w:vAlign w:val="bottom"/>
          </w:tcPr>
          <w:p>
            <w:pPr>
              <w:pStyle w:val="Normal"/>
              <w:jc w:val="center"/>
              <w:rPr>
                <w:rFonts w:eastAsia="Arial Unicode MS"/>
                <w:sz w:val="18"/>
              </w:rPr>
            </w:pPr>
            <w:r>
              <w:rPr>
                <w:sz w:val="18"/>
              </w:rPr>
              <w:t>339,167</w:t>
            </w:r>
          </w:p>
        </w:tc>
      </w:tr>
      <w:tr>
        <w:trPr>
          <w:trHeight w:val="255" w:hRule="atLeast"/>
        </w:trPr>
        <w:tc>
          <w:tcPr>
            <w:tcW w:w="465" w:type="dxa"/>
            <w:tcBorders>
              <w:start w:val="single" w:sz="8" w:space="0" w:color="000000"/>
              <w:bottom w:val="single" w:sz="4" w:space="0" w:color="000000"/>
              <w:end w:val="single" w:sz="4" w:space="0" w:color="000000"/>
            </w:tcBorders>
            <w:vAlign w:val="bottom"/>
          </w:tcPr>
          <w:p>
            <w:pPr>
              <w:pStyle w:val="Normal"/>
              <w:jc w:val="center"/>
              <w:rPr>
                <w:rFonts w:eastAsia="Arial Unicode MS"/>
                <w:sz w:val="18"/>
              </w:rPr>
            </w:pPr>
            <w:r>
              <w:rPr>
                <w:sz w:val="18"/>
              </w:rPr>
              <w:t>16</w:t>
            </w:r>
          </w:p>
        </w:tc>
        <w:tc>
          <w:tcPr>
            <w:tcW w:w="1831" w:type="dxa"/>
            <w:tcBorders>
              <w:bottom w:val="single" w:sz="4" w:space="0" w:color="000000"/>
              <w:end w:val="single" w:sz="4" w:space="0" w:color="000000"/>
            </w:tcBorders>
            <w:vAlign w:val="bottom"/>
          </w:tcPr>
          <w:p>
            <w:pPr>
              <w:pStyle w:val="Normal"/>
              <w:rPr>
                <w:rFonts w:eastAsia="Arial Unicode MS"/>
                <w:sz w:val="18"/>
              </w:rPr>
            </w:pPr>
            <w:r>
              <w:rPr>
                <w:sz w:val="18"/>
              </w:rPr>
              <w:t>Texas Women Unv</w:t>
            </w:r>
          </w:p>
        </w:tc>
        <w:tc>
          <w:tcPr>
            <w:tcW w:w="1260" w:type="dxa"/>
            <w:tcBorders>
              <w:bottom w:val="single" w:sz="4" w:space="0" w:color="000000"/>
              <w:end w:val="single" w:sz="4" w:space="0" w:color="000000"/>
            </w:tcBorders>
            <w:vAlign w:val="bottom"/>
          </w:tcPr>
          <w:p>
            <w:pPr>
              <w:pStyle w:val="Normal"/>
              <w:jc w:val="center"/>
              <w:rPr>
                <w:rFonts w:eastAsia="Arial Unicode MS"/>
                <w:sz w:val="18"/>
              </w:rPr>
            </w:pPr>
            <w:r>
              <w:rPr>
                <w:sz w:val="18"/>
              </w:rPr>
              <w:t>$49,755</w:t>
            </w:r>
          </w:p>
        </w:tc>
        <w:tc>
          <w:tcPr>
            <w:tcW w:w="1710" w:type="dxa"/>
            <w:tcBorders>
              <w:bottom w:val="single" w:sz="4" w:space="0" w:color="000000"/>
              <w:end w:val="single" w:sz="4" w:space="0" w:color="000000"/>
            </w:tcBorders>
            <w:vAlign w:val="bottom"/>
          </w:tcPr>
          <w:p>
            <w:pPr>
              <w:pStyle w:val="Normal"/>
              <w:jc w:val="center"/>
              <w:rPr>
                <w:rFonts w:eastAsia="Arial Unicode MS"/>
                <w:sz w:val="18"/>
              </w:rPr>
            </w:pPr>
            <w:r>
              <w:rPr>
                <w:sz w:val="18"/>
              </w:rPr>
              <w:t>$500,000</w:t>
            </w:r>
          </w:p>
        </w:tc>
        <w:tc>
          <w:tcPr>
            <w:tcW w:w="1170" w:type="dxa"/>
            <w:tcBorders>
              <w:bottom w:val="single" w:sz="4" w:space="0" w:color="000000"/>
              <w:end w:val="single" w:sz="4" w:space="0" w:color="000000"/>
            </w:tcBorders>
            <w:vAlign w:val="bottom"/>
          </w:tcPr>
          <w:p>
            <w:pPr>
              <w:pStyle w:val="Normal"/>
              <w:jc w:val="center"/>
              <w:rPr>
                <w:rFonts w:eastAsia="Arial Unicode MS"/>
                <w:sz w:val="18"/>
              </w:rPr>
            </w:pPr>
            <w:r>
              <w:rPr>
                <w:sz w:val="18"/>
              </w:rPr>
              <w:t>10%</w:t>
            </w:r>
          </w:p>
        </w:tc>
        <w:tc>
          <w:tcPr>
            <w:tcW w:w="1139" w:type="dxa"/>
            <w:tcBorders>
              <w:bottom w:val="single" w:sz="4" w:space="0" w:color="000000"/>
              <w:end w:val="single" w:sz="4" w:space="0" w:color="000000"/>
            </w:tcBorders>
            <w:vAlign w:val="bottom"/>
          </w:tcPr>
          <w:p>
            <w:pPr>
              <w:pStyle w:val="Normal"/>
              <w:jc w:val="center"/>
              <w:rPr>
                <w:rFonts w:eastAsia="Arial Unicode MS"/>
                <w:sz w:val="18"/>
              </w:rPr>
            </w:pPr>
            <w:r>
              <w:rPr>
                <w:sz w:val="18"/>
              </w:rPr>
              <w:t>78</w:t>
            </w:r>
          </w:p>
        </w:tc>
        <w:tc>
          <w:tcPr>
            <w:tcW w:w="1021" w:type="dxa"/>
            <w:tcBorders>
              <w:bottom w:val="single" w:sz="4" w:space="0" w:color="000000"/>
              <w:end w:val="single" w:sz="8" w:space="0" w:color="000000"/>
            </w:tcBorders>
            <w:vAlign w:val="bottom"/>
          </w:tcPr>
          <w:p>
            <w:pPr>
              <w:pStyle w:val="Normal"/>
              <w:jc w:val="center"/>
              <w:rPr>
                <w:rFonts w:eastAsia="Arial Unicode MS"/>
                <w:sz w:val="18"/>
              </w:rPr>
            </w:pPr>
            <w:r>
              <w:rPr>
                <w:sz w:val="18"/>
              </w:rPr>
              <w:t>253,175</w:t>
            </w:r>
          </w:p>
        </w:tc>
      </w:tr>
      <w:tr>
        <w:trPr>
          <w:trHeight w:val="255" w:hRule="atLeast"/>
        </w:trPr>
        <w:tc>
          <w:tcPr>
            <w:tcW w:w="465" w:type="dxa"/>
            <w:tcBorders>
              <w:start w:val="single" w:sz="8" w:space="0" w:color="000000"/>
              <w:bottom w:val="single" w:sz="4" w:space="0" w:color="000000"/>
              <w:end w:val="single" w:sz="4" w:space="0" w:color="000000"/>
            </w:tcBorders>
            <w:vAlign w:val="bottom"/>
          </w:tcPr>
          <w:p>
            <w:pPr>
              <w:pStyle w:val="Normal"/>
              <w:jc w:val="center"/>
              <w:rPr>
                <w:rFonts w:eastAsia="Arial Unicode MS"/>
                <w:sz w:val="18"/>
              </w:rPr>
            </w:pPr>
            <w:r>
              <w:rPr>
                <w:sz w:val="18"/>
              </w:rPr>
              <w:t>17</w:t>
            </w:r>
          </w:p>
        </w:tc>
        <w:tc>
          <w:tcPr>
            <w:tcW w:w="1831" w:type="dxa"/>
            <w:tcBorders>
              <w:bottom w:val="single" w:sz="4" w:space="0" w:color="000000"/>
              <w:end w:val="single" w:sz="4" w:space="0" w:color="000000"/>
            </w:tcBorders>
            <w:vAlign w:val="bottom"/>
          </w:tcPr>
          <w:p>
            <w:pPr>
              <w:pStyle w:val="Normal"/>
              <w:rPr>
                <w:rFonts w:eastAsia="Arial Unicode MS"/>
                <w:sz w:val="18"/>
              </w:rPr>
            </w:pPr>
            <w:r>
              <w:rPr>
                <w:sz w:val="18"/>
              </w:rPr>
              <w:t>U of Houston, CL</w:t>
            </w:r>
          </w:p>
        </w:tc>
        <w:tc>
          <w:tcPr>
            <w:tcW w:w="1260" w:type="dxa"/>
            <w:tcBorders>
              <w:bottom w:val="single" w:sz="4" w:space="0" w:color="000000"/>
              <w:end w:val="single" w:sz="4" w:space="0" w:color="000000"/>
            </w:tcBorders>
            <w:vAlign w:val="bottom"/>
          </w:tcPr>
          <w:p>
            <w:pPr>
              <w:pStyle w:val="Normal"/>
              <w:jc w:val="center"/>
              <w:rPr>
                <w:rFonts w:eastAsia="Arial Unicode MS"/>
                <w:sz w:val="18"/>
              </w:rPr>
            </w:pPr>
            <w:r>
              <w:rPr>
                <w:sz w:val="18"/>
              </w:rPr>
              <w:t>$95,656</w:t>
            </w:r>
          </w:p>
        </w:tc>
        <w:tc>
          <w:tcPr>
            <w:tcW w:w="1710" w:type="dxa"/>
            <w:tcBorders>
              <w:bottom w:val="single" w:sz="4" w:space="0" w:color="000000"/>
              <w:end w:val="single" w:sz="4" w:space="0" w:color="000000"/>
            </w:tcBorders>
            <w:vAlign w:val="bottom"/>
          </w:tcPr>
          <w:p>
            <w:pPr>
              <w:pStyle w:val="Normal"/>
              <w:jc w:val="center"/>
              <w:rPr>
                <w:rFonts w:eastAsia="Arial Unicode MS"/>
                <w:sz w:val="18"/>
              </w:rPr>
            </w:pPr>
            <w:r>
              <w:rPr>
                <w:sz w:val="18"/>
              </w:rPr>
              <w:t>$893,742</w:t>
            </w:r>
          </w:p>
        </w:tc>
        <w:tc>
          <w:tcPr>
            <w:tcW w:w="1170" w:type="dxa"/>
            <w:tcBorders>
              <w:bottom w:val="single" w:sz="4" w:space="0" w:color="000000"/>
              <w:end w:val="single" w:sz="4" w:space="0" w:color="000000"/>
            </w:tcBorders>
            <w:vAlign w:val="bottom"/>
          </w:tcPr>
          <w:p>
            <w:pPr>
              <w:pStyle w:val="Normal"/>
              <w:jc w:val="center"/>
              <w:rPr>
                <w:rFonts w:eastAsia="Arial Unicode MS"/>
                <w:sz w:val="18"/>
              </w:rPr>
            </w:pPr>
            <w:r>
              <w:rPr>
                <w:sz w:val="18"/>
              </w:rPr>
              <w:t>11%</w:t>
            </w:r>
          </w:p>
        </w:tc>
        <w:tc>
          <w:tcPr>
            <w:tcW w:w="1139" w:type="dxa"/>
            <w:tcBorders>
              <w:bottom w:val="single" w:sz="4" w:space="0" w:color="000000"/>
              <w:end w:val="single" w:sz="4" w:space="0" w:color="000000"/>
            </w:tcBorders>
            <w:vAlign w:val="bottom"/>
          </w:tcPr>
          <w:p>
            <w:pPr>
              <w:pStyle w:val="Normal"/>
              <w:jc w:val="center"/>
              <w:rPr>
                <w:rFonts w:eastAsia="Arial Unicode MS"/>
                <w:sz w:val="18"/>
              </w:rPr>
            </w:pPr>
            <w:r>
              <w:rPr>
                <w:sz w:val="18"/>
              </w:rPr>
              <w:t>60</w:t>
            </w:r>
          </w:p>
        </w:tc>
        <w:tc>
          <w:tcPr>
            <w:tcW w:w="1021" w:type="dxa"/>
            <w:tcBorders>
              <w:bottom w:val="single" w:sz="4" w:space="0" w:color="000000"/>
              <w:end w:val="single" w:sz="8" w:space="0" w:color="000000"/>
            </w:tcBorders>
            <w:vAlign w:val="bottom"/>
          </w:tcPr>
          <w:p>
            <w:pPr>
              <w:pStyle w:val="Normal"/>
              <w:jc w:val="center"/>
              <w:rPr>
                <w:rFonts w:eastAsia="Arial Unicode MS"/>
                <w:sz w:val="18"/>
              </w:rPr>
            </w:pPr>
            <w:r>
              <w:rPr>
                <w:sz w:val="18"/>
              </w:rPr>
              <w:t>460,576</w:t>
            </w:r>
          </w:p>
        </w:tc>
      </w:tr>
      <w:tr>
        <w:trPr>
          <w:trHeight w:val="255" w:hRule="atLeast"/>
        </w:trPr>
        <w:tc>
          <w:tcPr>
            <w:tcW w:w="465" w:type="dxa"/>
            <w:tcBorders>
              <w:start w:val="single" w:sz="8" w:space="0" w:color="000000"/>
              <w:bottom w:val="single" w:sz="4" w:space="0" w:color="000000"/>
              <w:end w:val="single" w:sz="4" w:space="0" w:color="000000"/>
            </w:tcBorders>
            <w:vAlign w:val="bottom"/>
          </w:tcPr>
          <w:p>
            <w:pPr>
              <w:pStyle w:val="Normal"/>
              <w:jc w:val="center"/>
              <w:rPr>
                <w:rFonts w:eastAsia="Arial Unicode MS"/>
                <w:sz w:val="18"/>
              </w:rPr>
            </w:pPr>
            <w:r>
              <w:rPr>
                <w:sz w:val="18"/>
              </w:rPr>
              <w:t>18</w:t>
            </w:r>
          </w:p>
        </w:tc>
        <w:tc>
          <w:tcPr>
            <w:tcW w:w="1831" w:type="dxa"/>
            <w:tcBorders>
              <w:bottom w:val="single" w:sz="4" w:space="0" w:color="000000"/>
              <w:end w:val="single" w:sz="4" w:space="0" w:color="000000"/>
            </w:tcBorders>
            <w:vAlign w:val="bottom"/>
          </w:tcPr>
          <w:p>
            <w:pPr>
              <w:pStyle w:val="Normal"/>
              <w:rPr>
                <w:rFonts w:eastAsia="Arial Unicode MS"/>
                <w:sz w:val="18"/>
              </w:rPr>
            </w:pPr>
            <w:r>
              <w:rPr>
                <w:sz w:val="18"/>
              </w:rPr>
              <w:t>TAMU, Galveston</w:t>
            </w:r>
          </w:p>
        </w:tc>
        <w:tc>
          <w:tcPr>
            <w:tcW w:w="1260" w:type="dxa"/>
            <w:tcBorders>
              <w:bottom w:val="single" w:sz="4" w:space="0" w:color="000000"/>
              <w:end w:val="single" w:sz="4" w:space="0" w:color="000000"/>
            </w:tcBorders>
            <w:vAlign w:val="bottom"/>
          </w:tcPr>
          <w:p>
            <w:pPr>
              <w:pStyle w:val="Normal"/>
              <w:jc w:val="center"/>
              <w:rPr>
                <w:rFonts w:eastAsia="Arial Unicode MS"/>
                <w:sz w:val="18"/>
              </w:rPr>
            </w:pPr>
            <w:r>
              <w:rPr>
                <w:sz w:val="18"/>
              </w:rPr>
              <w:t>$30,739</w:t>
            </w:r>
          </w:p>
        </w:tc>
        <w:tc>
          <w:tcPr>
            <w:tcW w:w="1710" w:type="dxa"/>
            <w:tcBorders>
              <w:bottom w:val="single" w:sz="4" w:space="0" w:color="000000"/>
              <w:end w:val="single" w:sz="4" w:space="0" w:color="000000"/>
            </w:tcBorders>
            <w:vAlign w:val="bottom"/>
          </w:tcPr>
          <w:p>
            <w:pPr>
              <w:pStyle w:val="Normal"/>
              <w:jc w:val="center"/>
              <w:rPr>
                <w:rFonts w:eastAsia="Arial Unicode MS"/>
                <w:sz w:val="18"/>
              </w:rPr>
            </w:pPr>
            <w:r>
              <w:rPr>
                <w:sz w:val="18"/>
              </w:rPr>
              <w:t>$893,742</w:t>
            </w:r>
          </w:p>
        </w:tc>
        <w:tc>
          <w:tcPr>
            <w:tcW w:w="1170" w:type="dxa"/>
            <w:tcBorders>
              <w:bottom w:val="single" w:sz="4" w:space="0" w:color="000000"/>
              <w:end w:val="single" w:sz="4" w:space="0" w:color="000000"/>
            </w:tcBorders>
            <w:vAlign w:val="bottom"/>
          </w:tcPr>
          <w:p>
            <w:pPr>
              <w:pStyle w:val="Normal"/>
              <w:jc w:val="center"/>
              <w:rPr>
                <w:rFonts w:eastAsia="Arial Unicode MS"/>
                <w:sz w:val="18"/>
              </w:rPr>
            </w:pPr>
            <w:r>
              <w:rPr>
                <w:sz w:val="18"/>
              </w:rPr>
              <w:t>3%</w:t>
            </w:r>
          </w:p>
        </w:tc>
        <w:tc>
          <w:tcPr>
            <w:tcW w:w="1139" w:type="dxa"/>
            <w:tcBorders>
              <w:bottom w:val="single" w:sz="4" w:space="0" w:color="000000"/>
              <w:end w:val="single" w:sz="4" w:space="0" w:color="000000"/>
            </w:tcBorders>
            <w:vAlign w:val="bottom"/>
          </w:tcPr>
          <w:p>
            <w:pPr>
              <w:pStyle w:val="Normal"/>
              <w:jc w:val="center"/>
              <w:rPr>
                <w:rFonts w:eastAsia="Arial Unicode MS"/>
                <w:sz w:val="18"/>
              </w:rPr>
            </w:pPr>
            <w:r>
              <w:rPr>
                <w:sz w:val="18"/>
              </w:rPr>
              <w:t>109</w:t>
            </w:r>
          </w:p>
        </w:tc>
        <w:tc>
          <w:tcPr>
            <w:tcW w:w="1021" w:type="dxa"/>
            <w:tcBorders>
              <w:bottom w:val="single" w:sz="4" w:space="0" w:color="000000"/>
              <w:end w:val="single" w:sz="8" w:space="0" w:color="000000"/>
            </w:tcBorders>
            <w:vAlign w:val="bottom"/>
          </w:tcPr>
          <w:p>
            <w:pPr>
              <w:pStyle w:val="Normal"/>
              <w:jc w:val="center"/>
              <w:rPr>
                <w:rFonts w:eastAsia="Arial Unicode MS"/>
                <w:sz w:val="18"/>
              </w:rPr>
            </w:pPr>
            <w:r>
              <w:rPr>
                <w:sz w:val="18"/>
              </w:rPr>
              <w:t>420,868</w:t>
            </w:r>
          </w:p>
        </w:tc>
      </w:tr>
      <w:tr>
        <w:trPr>
          <w:trHeight w:val="270" w:hRule="atLeast"/>
        </w:trPr>
        <w:tc>
          <w:tcPr>
            <w:tcW w:w="465" w:type="dxa"/>
            <w:tcBorders>
              <w:start w:val="single" w:sz="8" w:space="0" w:color="000000"/>
              <w:end w:val="single" w:sz="4" w:space="0" w:color="000000"/>
            </w:tcBorders>
            <w:vAlign w:val="bottom"/>
          </w:tcPr>
          <w:p>
            <w:pPr>
              <w:pStyle w:val="Normal"/>
              <w:jc w:val="center"/>
              <w:rPr>
                <w:rFonts w:eastAsia="Arial Unicode MS"/>
                <w:sz w:val="18"/>
              </w:rPr>
            </w:pPr>
            <w:r>
              <w:rPr>
                <w:sz w:val="18"/>
              </w:rPr>
              <w:t>19</w:t>
            </w:r>
          </w:p>
        </w:tc>
        <w:tc>
          <w:tcPr>
            <w:tcW w:w="1831" w:type="dxa"/>
            <w:tcBorders>
              <w:end w:val="single" w:sz="4" w:space="0" w:color="000000"/>
            </w:tcBorders>
            <w:vAlign w:val="bottom"/>
          </w:tcPr>
          <w:p>
            <w:pPr>
              <w:pStyle w:val="Normal"/>
              <w:rPr>
                <w:rFonts w:eastAsia="Arial Unicode MS"/>
                <w:sz w:val="18"/>
              </w:rPr>
            </w:pPr>
            <w:r>
              <w:rPr>
                <w:sz w:val="18"/>
              </w:rPr>
              <w:t>Texas Dept. of MHMR</w:t>
            </w:r>
          </w:p>
        </w:tc>
        <w:tc>
          <w:tcPr>
            <w:tcW w:w="1260" w:type="dxa"/>
            <w:tcBorders>
              <w:end w:val="single" w:sz="4" w:space="0" w:color="000000"/>
            </w:tcBorders>
            <w:vAlign w:val="bottom"/>
          </w:tcPr>
          <w:p>
            <w:pPr>
              <w:pStyle w:val="Normal"/>
              <w:jc w:val="center"/>
              <w:rPr>
                <w:rFonts w:eastAsia="Arial Unicode MS"/>
                <w:sz w:val="18"/>
              </w:rPr>
            </w:pPr>
            <w:r>
              <w:rPr>
                <w:sz w:val="18"/>
              </w:rPr>
              <w:t>$376,717</w:t>
            </w:r>
          </w:p>
        </w:tc>
        <w:tc>
          <w:tcPr>
            <w:tcW w:w="1710" w:type="dxa"/>
            <w:tcBorders>
              <w:end w:val="single" w:sz="4" w:space="0" w:color="000000"/>
            </w:tcBorders>
            <w:vAlign w:val="bottom"/>
          </w:tcPr>
          <w:p>
            <w:pPr>
              <w:pStyle w:val="Normal"/>
              <w:jc w:val="center"/>
              <w:rPr>
                <w:rFonts w:eastAsia="Arial Unicode MS"/>
                <w:sz w:val="18"/>
              </w:rPr>
            </w:pPr>
            <w:r>
              <w:rPr>
                <w:sz w:val="18"/>
              </w:rPr>
              <w:t>$2,119,176</w:t>
            </w:r>
          </w:p>
        </w:tc>
        <w:tc>
          <w:tcPr>
            <w:tcW w:w="1170" w:type="dxa"/>
            <w:tcBorders>
              <w:end w:val="single" w:sz="4" w:space="0" w:color="000000"/>
            </w:tcBorders>
            <w:vAlign w:val="bottom"/>
          </w:tcPr>
          <w:p>
            <w:pPr>
              <w:pStyle w:val="Normal"/>
              <w:jc w:val="center"/>
              <w:rPr>
                <w:rFonts w:eastAsia="Arial Unicode MS"/>
                <w:sz w:val="18"/>
              </w:rPr>
            </w:pPr>
            <w:r>
              <w:rPr>
                <w:sz w:val="18"/>
              </w:rPr>
              <w:t>18%</w:t>
            </w:r>
          </w:p>
        </w:tc>
        <w:tc>
          <w:tcPr>
            <w:tcW w:w="1139" w:type="dxa"/>
            <w:tcBorders>
              <w:end w:val="single" w:sz="4" w:space="0" w:color="000000"/>
            </w:tcBorders>
            <w:vAlign w:val="bottom"/>
          </w:tcPr>
          <w:p>
            <w:pPr>
              <w:pStyle w:val="Normal"/>
              <w:jc w:val="center"/>
              <w:rPr>
                <w:rFonts w:eastAsia="Arial Unicode MS"/>
                <w:sz w:val="18"/>
              </w:rPr>
            </w:pPr>
            <w:r>
              <w:rPr>
                <w:sz w:val="18"/>
              </w:rPr>
              <w:t>57</w:t>
            </w:r>
          </w:p>
        </w:tc>
        <w:tc>
          <w:tcPr>
            <w:tcW w:w="1021" w:type="dxa"/>
            <w:tcBorders>
              <w:end w:val="single" w:sz="8" w:space="0" w:color="000000"/>
            </w:tcBorders>
            <w:vAlign w:val="bottom"/>
          </w:tcPr>
          <w:p>
            <w:pPr>
              <w:pStyle w:val="Normal"/>
              <w:jc w:val="center"/>
              <w:rPr>
                <w:rFonts w:eastAsia="Arial Unicode MS"/>
                <w:sz w:val="18"/>
              </w:rPr>
            </w:pPr>
            <w:r>
              <w:rPr>
                <w:sz w:val="18"/>
              </w:rPr>
              <w:t>1,309,389</w:t>
            </w:r>
          </w:p>
        </w:tc>
      </w:tr>
      <w:tr>
        <w:trPr>
          <w:trHeight w:val="270" w:hRule="atLeast"/>
        </w:trPr>
        <w:tc>
          <w:tcPr>
            <w:tcW w:w="465" w:type="dxa"/>
            <w:tcBorders>
              <w:top w:val="single" w:sz="8" w:space="0" w:color="000000"/>
              <w:start w:val="single" w:sz="8" w:space="0" w:color="000000"/>
              <w:bottom w:val="single" w:sz="8" w:space="0" w:color="000000"/>
              <w:end w:val="single" w:sz="4" w:space="0" w:color="000000"/>
            </w:tcBorders>
            <w:shd w:fill="FFFF00" w:val="clear"/>
            <w:vAlign w:val="bottom"/>
          </w:tcPr>
          <w:p>
            <w:pPr>
              <w:pStyle w:val="Normal"/>
              <w:jc w:val="center"/>
              <w:rPr>
                <w:rFonts w:eastAsia="Arial Unicode MS"/>
                <w:b/>
                <w:sz w:val="18"/>
              </w:rPr>
            </w:pPr>
            <w:r>
              <w:rPr>
                <w:b/>
                <w:sz w:val="18"/>
              </w:rPr>
              <w:t> </w:t>
            </w:r>
          </w:p>
        </w:tc>
        <w:tc>
          <w:tcPr>
            <w:tcW w:w="1831" w:type="dxa"/>
            <w:tcBorders>
              <w:top w:val="single" w:sz="8" w:space="0" w:color="000000"/>
              <w:bottom w:val="single" w:sz="8" w:space="0" w:color="000000"/>
              <w:end w:val="single" w:sz="4" w:space="0" w:color="000000"/>
            </w:tcBorders>
            <w:shd w:fill="FFFF00" w:val="clear"/>
            <w:vAlign w:val="bottom"/>
          </w:tcPr>
          <w:p>
            <w:pPr>
              <w:pStyle w:val="Normal"/>
              <w:jc w:val="center"/>
              <w:rPr>
                <w:rFonts w:eastAsia="Arial Unicode MS"/>
                <w:b/>
                <w:sz w:val="18"/>
              </w:rPr>
            </w:pPr>
            <w:r>
              <w:rPr>
                <w:b/>
                <w:sz w:val="18"/>
              </w:rPr>
              <w:t>Total</w:t>
            </w:r>
          </w:p>
        </w:tc>
        <w:tc>
          <w:tcPr>
            <w:tcW w:w="1260" w:type="dxa"/>
            <w:tcBorders>
              <w:top w:val="single" w:sz="8" w:space="0" w:color="000000"/>
              <w:bottom w:val="single" w:sz="8" w:space="0" w:color="000000"/>
              <w:end w:val="single" w:sz="4" w:space="0" w:color="000000"/>
            </w:tcBorders>
            <w:shd w:fill="FFFF00" w:val="clear"/>
            <w:vAlign w:val="bottom"/>
          </w:tcPr>
          <w:p>
            <w:pPr>
              <w:pStyle w:val="Normal"/>
              <w:jc w:val="center"/>
              <w:rPr>
                <w:rFonts w:eastAsia="Arial Unicode MS"/>
                <w:b/>
                <w:sz w:val="18"/>
              </w:rPr>
            </w:pPr>
            <w:r>
              <w:rPr>
                <w:b/>
                <w:sz w:val="18"/>
              </w:rPr>
              <w:t>$9,258,943</w:t>
            </w:r>
          </w:p>
        </w:tc>
        <w:tc>
          <w:tcPr>
            <w:tcW w:w="1710" w:type="dxa"/>
            <w:tcBorders>
              <w:top w:val="single" w:sz="8" w:space="0" w:color="000000"/>
              <w:bottom w:val="single" w:sz="8" w:space="0" w:color="000000"/>
              <w:end w:val="single" w:sz="4" w:space="0" w:color="000000"/>
            </w:tcBorders>
            <w:shd w:fill="FFFF00" w:val="clear"/>
            <w:vAlign w:val="bottom"/>
          </w:tcPr>
          <w:p>
            <w:pPr>
              <w:pStyle w:val="Normal"/>
              <w:jc w:val="center"/>
              <w:rPr>
                <w:rFonts w:eastAsia="Arial Unicode MS"/>
                <w:b/>
                <w:sz w:val="18"/>
              </w:rPr>
            </w:pPr>
            <w:r>
              <w:rPr>
                <w:b/>
                <w:sz w:val="18"/>
              </w:rPr>
              <w:t>$53,077,708</w:t>
            </w:r>
          </w:p>
        </w:tc>
        <w:tc>
          <w:tcPr>
            <w:tcW w:w="1170" w:type="dxa"/>
            <w:tcBorders>
              <w:top w:val="single" w:sz="8" w:space="0" w:color="000000"/>
              <w:bottom w:val="single" w:sz="8" w:space="0" w:color="000000"/>
              <w:end w:val="single" w:sz="4" w:space="0" w:color="000000"/>
            </w:tcBorders>
            <w:shd w:fill="FFFF00" w:val="clear"/>
            <w:vAlign w:val="bottom"/>
          </w:tcPr>
          <w:p>
            <w:pPr>
              <w:pStyle w:val="Normal"/>
              <w:jc w:val="center"/>
              <w:rPr>
                <w:rFonts w:eastAsia="Arial Unicode MS"/>
                <w:b/>
                <w:sz w:val="18"/>
              </w:rPr>
            </w:pPr>
            <w:r>
              <w:rPr>
                <w:b/>
                <w:sz w:val="18"/>
              </w:rPr>
              <w:t>17%</w:t>
            </w:r>
          </w:p>
        </w:tc>
        <w:tc>
          <w:tcPr>
            <w:tcW w:w="1139" w:type="dxa"/>
            <w:tcBorders>
              <w:top w:val="single" w:sz="8" w:space="0" w:color="000000"/>
              <w:bottom w:val="single" w:sz="8" w:space="0" w:color="000000"/>
              <w:end w:val="single" w:sz="4" w:space="0" w:color="000000"/>
            </w:tcBorders>
            <w:shd w:fill="FFFF00" w:val="clear"/>
            <w:vAlign w:val="bottom"/>
          </w:tcPr>
          <w:p>
            <w:pPr>
              <w:pStyle w:val="Normal"/>
              <w:jc w:val="center"/>
              <w:rPr>
                <w:rFonts w:eastAsia="Arial Unicode MS"/>
                <w:b/>
                <w:sz w:val="18"/>
              </w:rPr>
            </w:pPr>
            <w:r>
              <w:rPr>
                <w:b/>
                <w:sz w:val="18"/>
              </w:rPr>
              <w:t xml:space="preserve"> </w:t>
            </w:r>
          </w:p>
        </w:tc>
        <w:tc>
          <w:tcPr>
            <w:tcW w:w="1021" w:type="dxa"/>
            <w:tcBorders>
              <w:top w:val="single" w:sz="8" w:space="0" w:color="000000"/>
              <w:bottom w:val="single" w:sz="8" w:space="0" w:color="000000"/>
              <w:end w:val="single" w:sz="8" w:space="0" w:color="000000"/>
            </w:tcBorders>
            <w:shd w:fill="FFFF00" w:val="clear"/>
            <w:vAlign w:val="bottom"/>
          </w:tcPr>
          <w:p>
            <w:pPr>
              <w:pStyle w:val="Normal"/>
              <w:jc w:val="center"/>
              <w:rPr>
                <w:rFonts w:eastAsia="Arial Unicode MS"/>
                <w:b/>
                <w:sz w:val="18"/>
              </w:rPr>
            </w:pPr>
            <w:r>
              <w:rPr>
                <w:b/>
                <w:sz w:val="18"/>
              </w:rPr>
              <w:t>18,607,015</w:t>
            </w:r>
          </w:p>
        </w:tc>
      </w:tr>
    </w:tbl>
    <w:p>
      <w:pPr>
        <w:pStyle w:val="NormalWeb"/>
        <w:widowControl/>
        <w:spacing w:before="0" w:after="0"/>
        <w:rPr/>
      </w:pPr>
      <w:r>
        <w:rPr/>
      </w:r>
    </w:p>
    <w:p>
      <w:pPr>
        <w:pStyle w:val="NormalWeb"/>
        <w:widowControl/>
        <w:spacing w:before="0" w:after="0"/>
        <w:jc w:val="both"/>
        <w:rPr/>
      </w:pPr>
      <w:r>
        <w:rPr/>
        <w:t xml:space="preserve">Second, the Environmental Protection Agency’s (EPA) Green Lights program, which tracks lighting upgrades and retrofits,  provides a good model for the type of  energy efficiency projects that are often considered as the first (and easiest) step in reducing energy use in commercial buildings.  In determining a threshold level, one would want to generally exceed the savings that would be attributable to lighting upgrades or retrofits.  Data from EPA February 28, 2001 “Green Lights Snapshot” shows that the average energy savings for lighting-only upgrades is 43%.  Department of Energy (DOE) data indicate that “Lighting accounts for 20% to 25% of all electricity consumed in the United States…while commercial establishments consume 20% to 30% of their total energy just for lighting.” (See, the “lighting” link at </w:t>
      </w:r>
      <w:hyperlink r:id="rId7">
        <w:r>
          <w:rPr>
            <w:rStyle w:val="Hyperlink"/>
          </w:rPr>
          <w:t>www.energy.gov</w:t>
        </w:r>
      </w:hyperlink>
      <w:r>
        <w:rPr/>
        <w:t>).  Therefore, a simple calculation shows that lighting upgrades or retrofits, in general, account for 8% to 12% in energy savings in commercial buildings.</w:t>
      </w:r>
    </w:p>
    <w:p>
      <w:pPr>
        <w:pStyle w:val="NormalWeb"/>
        <w:widowControl/>
        <w:spacing w:before="0" w:after="0"/>
        <w:jc w:val="both"/>
        <w:rPr/>
      </w:pPr>
      <w:r>
        <w:rPr/>
      </w:r>
    </w:p>
    <w:p>
      <w:pPr>
        <w:pStyle w:val="NormalWeb"/>
        <w:widowControl/>
        <w:spacing w:before="0" w:after="0"/>
        <w:jc w:val="both"/>
        <w:rPr/>
      </w:pPr>
      <w:r>
        <w:rPr/>
        <w:t xml:space="preserve">Consequently, in commercial buildings, an appropriate threshold for energy savings would be anything greater than 10 percent from a project that comprises a comprehensive or whole-building approach.  Projects could qualify for EECs if, and only if, the energy service company or project initiator could demonstrate that this threshold is probable.  This type of whole-building approach will increase the likelihood that companies will go above and beyond “cream-skimming” types of energy efficiency projects, such as lighting-only upgrades. </w:t>
      </w:r>
    </w:p>
    <w:p>
      <w:pPr>
        <w:pStyle w:val="Normal"/>
        <w:jc w:val="both"/>
        <w:rPr>
          <w:sz w:val="24"/>
        </w:rPr>
      </w:pPr>
      <w:r>
        <w:rPr>
          <w:sz w:val="24"/>
        </w:rPr>
      </w:r>
    </w:p>
    <w:p>
      <w:pPr>
        <w:pStyle w:val="Normal"/>
        <w:jc w:val="both"/>
        <w:rPr>
          <w:sz w:val="24"/>
        </w:rPr>
      </w:pPr>
      <w:r>
        <w:rPr>
          <w:sz w:val="24"/>
        </w:rPr>
        <w:t xml:space="preserve">Only the kilowatt-hours saved beyond the defined threshold will qualify for EECs.  For example, a commercial building that uses 100 million kWh and reduces its consumption to 75 million kWh will not get credits for the first 10% (the first 10 million kWh) saved.  Only the 15 million kWh achieved beyond the threshold would qualify for EECs. </w:t>
      </w:r>
    </w:p>
    <w:p>
      <w:pPr>
        <w:pStyle w:val="Normal"/>
        <w:rPr>
          <w:sz w:val="24"/>
        </w:rPr>
      </w:pPr>
      <w:r>
        <w:rPr>
          <w:sz w:val="24"/>
        </w:rPr>
      </w:r>
    </w:p>
    <w:p>
      <w:pPr>
        <w:pStyle w:val="Normal"/>
        <w:rPr>
          <w:b/>
          <w:sz w:val="24"/>
        </w:rPr>
      </w:pPr>
      <w:r>
        <w:rPr>
          <w:b/>
          <w:sz w:val="24"/>
        </w:rPr>
        <w:t>Industrial Facilities</w:t>
      </w:r>
    </w:p>
    <w:p>
      <w:pPr>
        <w:pStyle w:val="Normal"/>
        <w:jc w:val="both"/>
        <w:rPr>
          <w:sz w:val="24"/>
        </w:rPr>
      </w:pPr>
      <w:r>
        <w:rPr>
          <w:sz w:val="24"/>
        </w:rPr>
        <w:t>For industrial facilities, a technology- or system-based threshold may be more appropriate, given the larger diversity in types of facilities and the greater complexity involved in the monitoring and verification of savings.  A whole-building approach would act as a disincentive for major efficiency retrofits in industrial facilities.  Many industrial facilities consume large quantities of energy that are driven by core processes that can be difficult to change.  Motors and compressed air are two examples of industrial systems where a comprehensive retrofit can achieve significant electricity savings, and a 10% threshold may be appropriate as the point after which energy savings would qualify for EECs.  The team recommends using industrial standards held by such groups as the Association for an Energy Efficient Economy (ASEEE).  Once these standards are met, the additional savings would qualify for inclusion in Green-e certified products.</w:t>
      </w:r>
    </w:p>
    <w:p>
      <w:pPr>
        <w:pStyle w:val="Normal"/>
        <w:jc w:val="both"/>
        <w:rPr>
          <w:sz w:val="24"/>
        </w:rPr>
      </w:pPr>
      <w:r>
        <w:rPr>
          <w:sz w:val="24"/>
        </w:rPr>
      </w:r>
    </w:p>
    <w:p>
      <w:pPr>
        <w:pStyle w:val="Normal"/>
        <w:jc w:val="both"/>
        <w:rPr>
          <w:sz w:val="24"/>
        </w:rPr>
      </w:pPr>
      <w:r>
        <w:rPr>
          <w:sz w:val="24"/>
        </w:rPr>
        <w:t xml:space="preserve">The difficulties with developing thresholds for commercials and industrials facilities include determining which standards should be used, and defining a reasonable threshold.  In addition, technology-based standards would likely have to be updated periodically to account for improvements in energy efficiency technology. </w:t>
      </w:r>
    </w:p>
    <w:p>
      <w:pPr>
        <w:pStyle w:val="Normal"/>
        <w:jc w:val="both"/>
        <w:rPr>
          <w:sz w:val="24"/>
        </w:rPr>
      </w:pPr>
      <w:r>
        <w:rPr>
          <w:sz w:val="24"/>
        </w:rPr>
      </w:r>
    </w:p>
    <w:p>
      <w:pPr>
        <w:pStyle w:val="Normal"/>
        <w:jc w:val="both"/>
        <w:rPr>
          <w:sz w:val="24"/>
        </w:rPr>
      </w:pPr>
      <w:r>
        <w:rPr>
          <w:sz w:val="24"/>
        </w:rPr>
        <w:t>(Note: the thresholds discussed in this section are illustrative; optimal threshold levels for both industrial and commercial facilities would need to be collaboratively decided upon by the stakeholders.  However, it is critically important to ensure that thresholds are set at a level that will provide an incentive for projects that exceed the threshold:  thresholds that are set too low (e.g. below 10% in the commercial building sector) would reward those who would have done those projects anyway, while thresholds that are set too high will not provide any incentive for high savings projects to be undertaken.  The 10% threshold in the commercial sector is a level which eliminates the “low hanging fruit” while still encouraging high saving projects to be implemented).</w:t>
      </w:r>
    </w:p>
    <w:p>
      <w:pPr>
        <w:pStyle w:val="Normal"/>
        <w:rPr>
          <w:sz w:val="24"/>
        </w:rPr>
      </w:pPr>
      <w:r>
        <w:rPr>
          <w:sz w:val="24"/>
        </w:rPr>
      </w:r>
    </w:p>
    <w:p>
      <w:pPr>
        <w:pStyle w:val="Normal"/>
        <w:rPr>
          <w:sz w:val="24"/>
        </w:rPr>
      </w:pPr>
      <w:r>
        <w:rPr>
          <w:b/>
          <w:sz w:val="24"/>
        </w:rPr>
        <w:t>Eligibility of New and Existing Projects</w:t>
      </w:r>
    </w:p>
    <w:p>
      <w:pPr>
        <w:pStyle w:val="Normal"/>
        <w:jc w:val="both"/>
        <w:rPr>
          <w:sz w:val="24"/>
        </w:rPr>
      </w:pPr>
      <w:r>
        <w:rPr>
          <w:sz w:val="24"/>
        </w:rPr>
        <w:t xml:space="preserve">For new projects, EECs harvested from energy efficiency measures, which achieve ADDITIONAL reductions beyond the 10% threshold from the original baseline, will be eligible for Green-e certified products.  In order to encourage participation in the EEC Program, existing projects which have been installed within three years prior to the date of approval by the Green Power Board are eligible provided they meet the following conditions: (1) The EECs must be created from additional energy savings beyond the 10% threshold from the original baseline that have occurred after the date of approval of the EEC Program; (2) The 10% threshold was established using the original baseline; and, (3) The energy services company has a clear contractual arrangement with the customer to have installed these energy efficiency projects.  </w:t>
      </w:r>
    </w:p>
    <w:p>
      <w:pPr>
        <w:pStyle w:val="Normal"/>
        <w:jc w:val="both"/>
        <w:rPr>
          <w:sz w:val="24"/>
        </w:rPr>
      </w:pPr>
      <w:r>
        <w:rPr>
          <w:sz w:val="24"/>
        </w:rPr>
      </w:r>
    </w:p>
    <w:p>
      <w:pPr>
        <w:pStyle w:val="Normal"/>
        <w:jc w:val="both"/>
        <w:rPr>
          <w:sz w:val="24"/>
        </w:rPr>
      </w:pPr>
      <w:r>
        <w:rPr>
          <w:sz w:val="24"/>
        </w:rPr>
        <w:t>Including existing projects in the EEC Program is important to help establish the market.  While Energy Efficiency Credits can only be created after the inception of the date of the EEC Program, it is important that companies who have installed projects within the last three years be able to count these reductions toward the 10% threshold.  Without allowing existing projects to count toward the threshold, companies that have installed efficiency measures within the last three years would have to meet an unduly high threshold in addition to the energy savings already achieved.  Such a restriction would result in a lack of crucial supply of EECs at the program’s inception and thus disrupt demand for this environmentally beneficial product.  For example, if a company had implemented measures that resulted in an overall reduction of 7% over the original baseline within three years prior to the start date of the EEC Program, this company would be eligible to create Energy Efficiency Credits after achieving another 3% overall reduction.  Similarly, companies that have installed efficiency measure that have resulted in an overall savings of 15% within the past three years, would be eligible to create Energy Efficiency Credits from inception date of the program, because they have already more than satisfied the 10% threshold requirement.  Thus any energy savings beyond the 15% that have already been realized and that occur after the EEC Program start date can be harvested.</w:t>
      </w:r>
    </w:p>
    <w:p>
      <w:pPr>
        <w:pStyle w:val="Normal"/>
        <w:rPr>
          <w:sz w:val="24"/>
        </w:rPr>
      </w:pPr>
      <w:r>
        <w:rPr>
          <w:sz w:val="24"/>
        </w:rPr>
      </w:r>
    </w:p>
    <w:p>
      <w:pPr>
        <w:pStyle w:val="Normal"/>
        <w:rPr>
          <w:sz w:val="24"/>
        </w:rPr>
      </w:pPr>
      <w:r>
        <w:rPr>
          <w:b/>
          <w:sz w:val="24"/>
        </w:rPr>
        <w:t>New Building Construction</w:t>
      </w:r>
    </w:p>
    <w:p>
      <w:pPr>
        <w:pStyle w:val="Normal"/>
        <w:jc w:val="both"/>
        <w:rPr>
          <w:b/>
          <w:sz w:val="24"/>
        </w:rPr>
      </w:pPr>
      <w:r>
        <w:rPr>
          <w:sz w:val="24"/>
        </w:rPr>
        <w:t>It is beyond the present scope of this paper to propose how construction of super energy efficient buildings could be incorporated into a EEC Program.  However, the Team recommends that after the initial EEC Program is put in place, the program be amended to incorporate new construction in order to encourage the “smart” construction of highly energy efficient buildings.   A specific amendment to the EEC standard should be proposed at a later date on what type of measurement and verification should be used for new building construction.</w:t>
      </w:r>
    </w:p>
    <w:p>
      <w:pPr>
        <w:pStyle w:val="Normal"/>
        <w:jc w:val="both"/>
        <w:rPr>
          <w:b/>
          <w:sz w:val="24"/>
        </w:rPr>
      </w:pPr>
      <w:r>
        <w:rPr>
          <w:b/>
          <w:sz w:val="24"/>
        </w:rPr>
      </w:r>
    </w:p>
    <w:p>
      <w:pPr>
        <w:pStyle w:val="Normal"/>
        <w:jc w:val="both"/>
        <w:rPr>
          <w:sz w:val="24"/>
        </w:rPr>
      </w:pPr>
      <w:r>
        <w:rPr>
          <w:b/>
          <w:sz w:val="24"/>
        </w:rPr>
        <w:t>Energy Efficiency Credits and Renewable Parity</w:t>
      </w:r>
    </w:p>
    <w:p>
      <w:pPr>
        <w:pStyle w:val="Normal"/>
        <w:jc w:val="both"/>
        <w:rPr>
          <w:sz w:val="24"/>
        </w:rPr>
      </w:pPr>
      <w:r>
        <w:rPr>
          <w:sz w:val="24"/>
        </w:rPr>
        <w:t>As stated in the tag line for the Green-e Program on the CRS web page, Green-e is a “renewable electricity program.”  Therefore, renewable electricity must be an important part of any product that includes EECs.  For accounting purposes, EECs should be stated in the same terms as renewable energy generation, i.e., one kilowatt-hour “produced” from a EEC should be considered the equivalent to one kilowatt-hour produced from a renewable generation source.  Since additionality concerns can be addressed through the application of performance thresholds and project length specifications, the underlying project will provide high-quality energy savings and emission reductions.  Any discounting of EECs to renewable energy generation would overcomplicate transactions and impose undue administrative burdens.</w:t>
      </w:r>
    </w:p>
    <w:p>
      <w:pPr>
        <w:pStyle w:val="Normal"/>
        <w:rPr>
          <w:sz w:val="24"/>
        </w:rPr>
      </w:pPr>
      <w:r>
        <w:rPr>
          <w:sz w:val="24"/>
        </w:rPr>
      </w:r>
    </w:p>
    <w:p>
      <w:pPr>
        <w:pStyle w:val="Heading1"/>
        <w:widowControl/>
        <w:ind w:hanging="0" w:start="0"/>
        <w:jc w:val="both"/>
        <w:rPr/>
      </w:pPr>
      <w:r>
        <w:rPr/>
        <w:t>Transactions and Life Cycle</w:t>
      </w:r>
    </w:p>
    <w:p>
      <w:pPr>
        <w:pStyle w:val="Normal"/>
        <w:jc w:val="both"/>
        <w:rPr>
          <w:sz w:val="24"/>
        </w:rPr>
      </w:pPr>
      <w:r>
        <w:rPr>
          <w:sz w:val="24"/>
        </w:rPr>
        <w:t xml:space="preserve">The Team suggests that EECs be bought and sold in a similar manner to the way renewable energy is currently bought and sold for inclusion in green energy products.  In Pennsylvania, retail energy providers currently buy electricity from wholesale energy providers to meet their customers’ needs.  Green power providers also purchase enough renewable energy kilowatt-hours from wholesalers to meet their customers kilowatt-hour demand.  To incorporate EECs, green power providers could purchase EECs from the C&amp;I companies or energy service companies that are initiating energy efficiency projects at qualifying facilities to meet their needs.  </w:t>
      </w:r>
    </w:p>
    <w:p>
      <w:pPr>
        <w:pStyle w:val="NormalWeb"/>
        <w:widowControl/>
        <w:spacing w:before="0" w:after="0"/>
        <w:jc w:val="both"/>
        <w:rPr>
          <w:sz w:val="24"/>
        </w:rPr>
      </w:pPr>
      <w:r>
        <w:rPr>
          <w:sz w:val="24"/>
        </w:rPr>
      </w:r>
    </w:p>
    <w:p>
      <w:pPr>
        <w:pStyle w:val="Normal"/>
        <w:jc w:val="both"/>
        <w:rPr>
          <w:sz w:val="24"/>
        </w:rPr>
      </w:pPr>
      <w:r>
        <w:rPr>
          <w:sz w:val="24"/>
        </w:rPr>
        <w:t xml:space="preserve">The Team recommends that EECs from a facility be eligible for trading for a total of six years from the time the energy efficiency measures are undertaken.  For existing projects that are eligible within three years prior to the inception of the EEC Program, the life of these EECs will begin the year in which the measure was installed.  For example, if the program’s inception is September 2001, projects that were implemented in 1999 would be eligible and the life of the EEC would start the same year as its installation.  Since this project’s life began in 1999 and ends in 2004, the life of the EEC at the program’s inception is three years.  </w:t>
      </w:r>
    </w:p>
    <w:p>
      <w:pPr>
        <w:pStyle w:val="Normal"/>
        <w:jc w:val="both"/>
        <w:rPr>
          <w:sz w:val="24"/>
        </w:rPr>
      </w:pPr>
      <w:r>
        <w:rPr>
          <w:sz w:val="24"/>
        </w:rPr>
      </w:r>
    </w:p>
    <w:p>
      <w:pPr>
        <w:pStyle w:val="BodyText2"/>
        <w:jc w:val="both"/>
        <w:rPr/>
      </w:pPr>
      <w:r>
        <w:rPr/>
        <w:t xml:space="preserve">The six-year life cycle is based on the recognition that well-developed and implemented energy efficiency projects typically produce reliable energy savings for at least half of the average ten-year life cycle of a C&amp;I project. </w:t>
      </w:r>
    </w:p>
    <w:p>
      <w:pPr>
        <w:pStyle w:val="Normal"/>
        <w:jc w:val="both"/>
        <w:rPr>
          <w:sz w:val="24"/>
        </w:rPr>
      </w:pPr>
      <w:r>
        <w:rPr>
          <w:sz w:val="24"/>
        </w:rPr>
      </w:r>
    </w:p>
    <w:p>
      <w:pPr>
        <w:pStyle w:val="Normal"/>
        <w:jc w:val="both"/>
        <w:rPr/>
      </w:pPr>
      <w:r>
        <w:rPr>
          <w:sz w:val="24"/>
        </w:rPr>
        <w:t>Due to the life cycle and tracking needs of a credits program, the Team also recommends consideration of the creation of an electronic interface for trading.  One option would be to have the EECs sold into an electronic web-based program in kilowatt-hour blocks of a specified size.  For example, the minimum size for a block of renewable energy credits is 150 kilowatt-hours.</w:t>
      </w:r>
      <w:r>
        <w:rPr>
          <w:rStyle w:val="FootnoteCharacters"/>
          <w:rStyle w:val="FootnoteReference"/>
          <w:sz w:val="24"/>
        </w:rPr>
        <w:footnoteReference w:id="27"/>
      </w:r>
      <w:r>
        <w:rPr>
          <w:sz w:val="24"/>
        </w:rPr>
        <w:t xml:space="preserve">  Further market research may yield an appropriate or recommended size for the aggregation of EECs into block products. EECs could be identified with a date of termination tag and could be traded for up to six years.  Electronic trading would need to be managed by an independent party. </w:t>
      </w:r>
    </w:p>
    <w:p>
      <w:pPr>
        <w:pStyle w:val="Normal"/>
        <w:jc w:val="both"/>
        <w:rPr>
          <w:sz w:val="24"/>
        </w:rPr>
      </w:pPr>
      <w:r>
        <w:rPr>
          <w:sz w:val="24"/>
        </w:rPr>
      </w:r>
    </w:p>
    <w:p>
      <w:pPr>
        <w:pStyle w:val="Heading1"/>
        <w:widowControl/>
        <w:ind w:hanging="0" w:start="0"/>
        <w:jc w:val="both"/>
        <w:rPr/>
      </w:pPr>
      <w:r>
        <w:rPr/>
        <w:t>Percentage of a Green Energy Product</w:t>
      </w:r>
    </w:p>
    <w:p>
      <w:pPr>
        <w:pStyle w:val="Normal"/>
        <w:jc w:val="both"/>
        <w:rPr>
          <w:sz w:val="24"/>
        </w:rPr>
      </w:pPr>
      <w:r>
        <w:rPr>
          <w:sz w:val="24"/>
        </w:rPr>
        <w:t xml:space="preserve">The purpose of EECs in a Green-e certified product is to enhance the Green-e program, and so must be incorporated in a manner consistent with the Center for Resource Solutions’ mission:  </w:t>
      </w:r>
    </w:p>
    <w:p>
      <w:pPr>
        <w:pStyle w:val="Normal"/>
        <w:jc w:val="both"/>
        <w:rPr>
          <w:sz w:val="24"/>
        </w:rPr>
      </w:pPr>
      <w:r>
        <w:rPr>
          <w:sz w:val="24"/>
        </w:rPr>
      </w:r>
    </w:p>
    <w:p>
      <w:pPr>
        <w:pStyle w:val="Normal"/>
        <w:tabs>
          <w:tab w:val="left" w:pos="720" w:leader="none"/>
        </w:tabs>
        <w:ind w:hanging="360" w:start="720" w:end="0"/>
        <w:jc w:val="both"/>
        <w:rPr>
          <w:sz w:val="24"/>
        </w:rPr>
      </w:pPr>
      <w:r>
        <w:rPr>
          <w:rFonts w:cs="Wingdings" w:ascii="Wingdings" w:hAnsi="Wingdings"/>
          <w:sz w:val="24"/>
        </w:rPr>
        <w:tab/>
      </w:r>
      <w:r>
        <w:rPr>
          <w:sz w:val="24"/>
        </w:rPr>
        <w:t>CRS brings together diverse interests to implement practical resource solutions. Our programs promote clean and efficient energy use, encourage sustainable economic growth, and help preserve the environment for present and future generations.</w:t>
      </w:r>
      <w:r>
        <w:rPr>
          <w:rStyle w:val="FootnoteCharacters"/>
          <w:rStyle w:val="FootnoteReference"/>
          <w:sz w:val="24"/>
        </w:rPr>
        <w:footnoteReference w:id="28"/>
      </w:r>
    </w:p>
    <w:p>
      <w:pPr>
        <w:pStyle w:val="Normal"/>
        <w:jc w:val="both"/>
        <w:rPr>
          <w:sz w:val="24"/>
        </w:rPr>
      </w:pPr>
      <w:r>
        <w:rPr>
          <w:sz w:val="24"/>
        </w:rPr>
      </w:r>
    </w:p>
    <w:p>
      <w:pPr>
        <w:pStyle w:val="Normal"/>
        <w:jc w:val="both"/>
        <w:rPr>
          <w:sz w:val="24"/>
        </w:rPr>
      </w:pPr>
      <w:r>
        <w:rPr>
          <w:sz w:val="24"/>
        </w:rPr>
        <w:t xml:space="preserve">The Team suggests that EECs represent up to 50 percent of the existing renewable energy component of a green power product, as is defined in the Green-e standard.  This percentage would illustrate that the EECs are additive to the renewable portion, and demonstrate support of Green-e’s effort to grow the use of environmentally friendly energy products. We also recommend that the existing Negawatt standard be kept consistent such that there would be a ramping down of the eligible portion of EECs, and that the ramping down begin one year from the inception of this program.  </w:t>
      </w:r>
    </w:p>
    <w:p>
      <w:pPr>
        <w:pStyle w:val="Normal"/>
        <w:jc w:val="both"/>
        <w:rPr>
          <w:sz w:val="24"/>
        </w:rPr>
      </w:pPr>
      <w:r>
        <w:rPr>
          <w:sz w:val="24"/>
        </w:rPr>
      </w:r>
    </w:p>
    <w:p>
      <w:pPr>
        <w:pStyle w:val="Heading1"/>
        <w:widowControl/>
        <w:ind w:hanging="0" w:start="0"/>
        <w:jc w:val="both"/>
        <w:rPr/>
      </w:pPr>
      <w:r>
        <w:rPr/>
        <w:t>Attributes Ownership</w:t>
      </w:r>
    </w:p>
    <w:p>
      <w:pPr>
        <w:pStyle w:val="Normal"/>
        <w:jc w:val="both"/>
        <w:rPr>
          <w:sz w:val="24"/>
        </w:rPr>
      </w:pPr>
      <w:r>
        <w:rPr>
          <w:sz w:val="24"/>
        </w:rPr>
        <w:t xml:space="preserve">As previously stated, ownership of the EECs and the environmental attributes should be addressed contractually between all interested parties: C&amp;I companies, energy service companies, green power marketing companies, and end-use customers.  The Team’s intent is that the environmental attributes remain bundled with the economic EEC.   </w:t>
      </w:r>
    </w:p>
    <w:p>
      <w:pPr>
        <w:pStyle w:val="Normal"/>
        <w:jc w:val="both"/>
        <w:rPr>
          <w:sz w:val="24"/>
        </w:rPr>
      </w:pPr>
      <w:r>
        <w:rPr>
          <w:sz w:val="24"/>
        </w:rPr>
      </w:r>
    </w:p>
    <w:p>
      <w:pPr>
        <w:pStyle w:val="Heading1"/>
        <w:widowControl/>
        <w:ind w:hanging="0" w:start="0"/>
        <w:jc w:val="both"/>
        <w:rPr/>
      </w:pPr>
      <w:r>
        <w:rPr/>
        <w:t>Penalties</w:t>
      </w:r>
    </w:p>
    <w:p>
      <w:pPr>
        <w:pStyle w:val="Normal"/>
        <w:jc w:val="both"/>
        <w:rPr>
          <w:sz w:val="24"/>
        </w:rPr>
      </w:pPr>
      <w:r>
        <w:rPr>
          <w:sz w:val="24"/>
        </w:rPr>
        <w:t>Consistent with the Green-e program, if companies fail to meet their annual contractual obligations by the end of the three-month true up period, the company will lose its Green-e certification.</w:t>
      </w:r>
    </w:p>
    <w:p>
      <w:pPr>
        <w:pStyle w:val="Normal"/>
        <w:jc w:val="both"/>
        <w:rPr>
          <w:sz w:val="24"/>
        </w:rPr>
      </w:pPr>
      <w:r>
        <w:rPr>
          <w:sz w:val="24"/>
        </w:rPr>
      </w:r>
    </w:p>
    <w:p>
      <w:pPr>
        <w:pStyle w:val="Heading1"/>
        <w:widowControl/>
        <w:ind w:hanging="0" w:start="0"/>
        <w:jc w:val="both"/>
        <w:rPr/>
      </w:pPr>
      <w:r>
        <w:rPr/>
        <w:t>Program Management</w:t>
        <w:tab/>
      </w:r>
    </w:p>
    <w:p>
      <w:pPr>
        <w:pStyle w:val="Normal"/>
        <w:jc w:val="both"/>
        <w:rPr>
          <w:sz w:val="24"/>
        </w:rPr>
      </w:pPr>
      <w:r>
        <w:rPr>
          <w:sz w:val="24"/>
        </w:rPr>
        <w:t>The Team believes management of a EEC Program by the Center for Resource Solutions should be consistent with the review and verification of other Green-e products.</w:t>
      </w:r>
    </w:p>
    <w:p>
      <w:pPr>
        <w:pStyle w:val="Normal"/>
        <w:jc w:val="both"/>
        <w:rPr>
          <w:b/>
          <w:sz w:val="24"/>
        </w:rPr>
      </w:pPr>
      <w:r>
        <w:rPr>
          <w:b/>
          <w:sz w:val="24"/>
        </w:rPr>
      </w:r>
    </w:p>
    <w:p>
      <w:pPr>
        <w:pStyle w:val="Normal"/>
        <w:jc w:val="both"/>
        <w:rPr>
          <w:sz w:val="24"/>
        </w:rPr>
      </w:pPr>
      <w:r>
        <w:rPr>
          <w:b/>
          <w:sz w:val="24"/>
        </w:rPr>
        <w:t>Program Start Date</w:t>
      </w:r>
    </w:p>
    <w:p>
      <w:pPr>
        <w:pStyle w:val="Normal"/>
        <w:jc w:val="both"/>
        <w:rPr>
          <w:sz w:val="24"/>
        </w:rPr>
      </w:pPr>
      <w:r>
        <w:rPr>
          <w:sz w:val="24"/>
        </w:rPr>
        <w:t>The Team recommends a EEC Program be commenced as soon as possible in the fall of 2001, and is willing to aid in the development and commencement of such a program.  .</w:t>
      </w:r>
    </w:p>
    <w:p>
      <w:pPr>
        <w:pStyle w:val="Normal"/>
        <w:jc w:val="both"/>
        <w:rPr>
          <w:b/>
          <w:sz w:val="24"/>
        </w:rPr>
      </w:pPr>
      <w:r>
        <w:rPr>
          <w:sz w:val="24"/>
        </w:rPr>
        <w:t xml:space="preserve"> </w:t>
      </w:r>
    </w:p>
    <w:p>
      <w:pPr>
        <w:pStyle w:val="NormalWeb"/>
        <w:widowControl/>
        <w:spacing w:before="0" w:after="0"/>
        <w:jc w:val="both"/>
        <w:rPr>
          <w:b/>
        </w:rPr>
      </w:pPr>
      <w:r>
        <w:rPr>
          <w:b/>
        </w:rPr>
        <w:t>IV.</w:t>
        <w:tab/>
        <w:t>Conclusion</w:t>
      </w:r>
    </w:p>
    <w:p>
      <w:pPr>
        <w:pStyle w:val="NormalWeb"/>
        <w:widowControl/>
        <w:spacing w:before="0" w:after="0"/>
        <w:jc w:val="both"/>
        <w:rPr>
          <w:b/>
        </w:rPr>
      </w:pPr>
      <w:r>
        <w:rPr>
          <w:b/>
        </w:rPr>
      </w:r>
    </w:p>
    <w:p>
      <w:pPr>
        <w:pStyle w:val="Normal"/>
        <w:jc w:val="both"/>
        <w:rPr>
          <w:sz w:val="24"/>
        </w:rPr>
      </w:pPr>
      <w:r>
        <w:rPr>
          <w:sz w:val="24"/>
        </w:rPr>
        <w:t>Energy efficiency projects can have substantial environmental benefits, including reducing air emissions and reducing the demand for construction of new electricity plants.  Including energy efficiency in green power products (in the form of EECs) will further the Center for Resource Solutions’ stated goals, and increase investment in energy efficiency projects.  By expanding the Pennsylvania EEC Program to commercial and industrial projects, the Center for Resource Solutions will enable electricity suppliers to expand their product offerings and services, and eventually encourage the construction of new renewable generation plants.</w:t>
      </w:r>
    </w:p>
    <w:p>
      <w:pPr>
        <w:pStyle w:val="Normal"/>
        <w:jc w:val="both"/>
        <w:rPr>
          <w:sz w:val="24"/>
        </w:rPr>
      </w:pPr>
      <w:r>
        <w:rPr>
          <w:sz w:val="24"/>
        </w:rPr>
      </w:r>
    </w:p>
    <w:p>
      <w:pPr>
        <w:pStyle w:val="Normal"/>
        <w:jc w:val="both"/>
        <w:rPr>
          <w:sz w:val="24"/>
        </w:rPr>
      </w:pPr>
      <w:r>
        <w:rPr>
          <w:sz w:val="24"/>
        </w:rPr>
        <w:t>Enron Energy Services and the Center for Energy and Climate Solutions would like to thank the Subcommittee and Green-e for reviewing our proposal.  We appreciate the opportunity to present our proposal to the Subcommittee, and to have this proposal presented to the Green-e Board in July 2001.  We look forward to working with Green-e and other stakeholders in the Pennsylvania market to further Green-e’s efforts to promote the wise use of our limited natural resources.</w:t>
      </w:r>
    </w:p>
    <w:p>
      <w:pPr>
        <w:pStyle w:val="Normal"/>
        <w:jc w:val="both"/>
        <w:rPr/>
      </w:pPr>
      <w:r>
        <w:rPr/>
      </w:r>
    </w:p>
    <w:sectPr>
      <w:footerReference w:type="default" r:id="rId8"/>
      <w:footerReference w:type="first" r:id="rId9"/>
      <w:footnotePr>
        <w:numFmt w:val="decimal"/>
      </w:footnotePr>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jc w:val="end"/>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widowControl/>
                            <w:rPr>
                              <w:rStyle w:val="PageNumber"/>
                              <w:sz w:val="24"/>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widowControl/>
                      <w:rPr>
                        <w:rStyle w:val="PageNumber"/>
                        <w:sz w:val="24"/>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jc w:val="end"/>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28321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widowControl/>
                            <w:rPr>
                              <w:rStyle w:val="PageNumber"/>
                              <w:sz w:val="24"/>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widowControl/>
                      <w:rPr>
                        <w:rStyle w:val="PageNumber"/>
                        <w:sz w:val="24"/>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jc w:val="end"/>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17</w:t>
    </w:r>
    <w:r>
      <w:rPr>
        <w:rStyle w:val="PageNumber"/>
        <w:sz w:val="24"/>
      </w:rPr>
      <w:fldChar w:fldCharType="end"/>
    </w:r>
    <w:r>
      <mc:AlternateContent>
        <mc:Choice Requires="wps">
          <w:drawing>
            <wp:anchor behindDoc="0" distT="0" distB="0" distL="0" distR="0" simplePos="0" locked="0" layoutInCell="0" allowOverlap="1" relativeHeight="18">
              <wp:simplePos x="0" y="0"/>
              <wp:positionH relativeFrom="margin">
                <wp:align>right</wp:align>
              </wp:positionH>
              <wp:positionV relativeFrom="paragraph">
                <wp:posOffset>635</wp:posOffset>
              </wp:positionV>
              <wp:extent cx="14605" cy="177165"/>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widowControl/>
                            <w:rPr>
                              <w:rStyle w:val="PageNumber"/>
                              <w:sz w:val="24"/>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widowControl/>
                      <w:rPr>
                        <w:rStyle w:val="PageNumber"/>
                        <w:sz w:val="24"/>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rPr/>
      </w:pPr>
      <w:r>
        <w:rPr>
          <w:rStyle w:val="FootnoteCharacters"/>
        </w:rPr>
        <w:footnoteRef/>
      </w:r>
      <w:r>
        <w:rPr/>
        <w:t xml:space="preserve"> </w:t>
      </w:r>
      <w:r>
        <w:rPr/>
        <w:t>Liz Robinson, e-mail, February 13, 2001 &amp; Meredith Wingate, e-mail, February 14, 2001.</w:t>
      </w:r>
    </w:p>
  </w:footnote>
  <w:footnote w:id="3">
    <w:p>
      <w:pPr>
        <w:pStyle w:val="FootnoteText"/>
        <w:widowControl/>
        <w:rPr/>
      </w:pPr>
      <w:r>
        <w:rPr>
          <w:rStyle w:val="FootnoteCharacters"/>
        </w:rPr>
        <w:footnoteRef/>
      </w:r>
      <w:r>
        <w:rPr/>
        <w:t xml:space="preserve"> </w:t>
      </w:r>
      <w:r>
        <w:rPr/>
        <w:t>Pennsylvania Office of Consumer Advocate, “Pennsylvania Electric Shopping Statistics”, January 2001.</w:t>
      </w:r>
    </w:p>
  </w:footnote>
  <w:footnote w:id="4">
    <w:p>
      <w:pPr>
        <w:pStyle w:val="FootnoteText"/>
        <w:widowControl/>
        <w:rPr/>
      </w:pPr>
      <w:r>
        <w:rPr>
          <w:rStyle w:val="FootnoteCharacters"/>
        </w:rPr>
        <w:footnoteRef/>
      </w:r>
      <w:r>
        <w:rPr/>
        <w:t xml:space="preserve"> </w:t>
      </w:r>
      <w:r>
        <w:rPr/>
        <w:t>Kevin Cadden, Pennsylvania Public Utilities Commission, January 1999.</w:t>
      </w:r>
    </w:p>
  </w:footnote>
  <w:footnote w:id="5">
    <w:p>
      <w:pPr>
        <w:pStyle w:val="FootnoteText"/>
        <w:rPr/>
      </w:pPr>
      <w:r>
        <w:rPr>
          <w:rStyle w:val="FootnoteCharacters"/>
        </w:rPr>
        <w:footnoteRef/>
      </w:r>
      <w:r>
        <w:rPr/>
        <w:t xml:space="preserve"> </w:t>
      </w:r>
      <w:r>
        <w:rPr/>
        <w:t>Pennsylvania Public Utility Commission website, “Electric Choice” link, and the Pennsylvania Office of Consumer Advocate, ibid.</w:t>
      </w:r>
    </w:p>
  </w:footnote>
  <w:footnote w:id="6">
    <w:p>
      <w:pPr>
        <w:pStyle w:val="FootnoteText"/>
        <w:rPr/>
      </w:pPr>
      <w:r>
        <w:rPr>
          <w:rStyle w:val="FootnoteCharacters"/>
        </w:rPr>
        <w:footnoteRef/>
      </w:r>
      <w:r>
        <w:rPr/>
        <w:t xml:space="preserve"> </w:t>
      </w:r>
      <w:r>
        <w:rPr/>
        <w:t>Discussions with staff at the Pennsylvania Public Utility Commission, July 24, 2001.</w:t>
      </w:r>
    </w:p>
  </w:footnote>
  <w:footnote w:id="7">
    <w:p>
      <w:pPr>
        <w:pStyle w:val="FootnoteText"/>
        <w:widowControl/>
        <w:rPr/>
      </w:pPr>
      <w:r>
        <w:rPr>
          <w:rStyle w:val="FootnoteCharacters"/>
        </w:rPr>
        <w:footnoteRef/>
      </w:r>
      <w:r>
        <w:rPr/>
        <w:t xml:space="preserve"> </w:t>
      </w:r>
      <w:r>
        <w:rPr/>
        <w:t xml:space="preserve">Mark Crowdis, Think Energy, Inc., February 15, 2001. </w:t>
      </w:r>
    </w:p>
  </w:footnote>
  <w:footnote w:id="8">
    <w:p>
      <w:pPr>
        <w:pStyle w:val="FootnoteText"/>
        <w:rPr/>
      </w:pPr>
      <w:r>
        <w:rPr>
          <w:rStyle w:val="FootnoteCharacters"/>
        </w:rPr>
        <w:footnoteRef/>
      </w:r>
      <w:r>
        <w:rPr/>
        <w:t xml:space="preserve"> </w:t>
      </w:r>
      <w:r>
        <w:rPr/>
        <w:t>Discussions with staff at the Pennsylvania Public Utility Commission and Penn Futures, Inc, July 24, 2001.</w:t>
      </w:r>
    </w:p>
  </w:footnote>
  <w:footnote w:id="9">
    <w:p>
      <w:pPr>
        <w:pStyle w:val="FootnoteText"/>
        <w:widowControl/>
        <w:rPr/>
      </w:pPr>
      <w:r>
        <w:rPr>
          <w:rStyle w:val="FootnoteCharacters"/>
        </w:rPr>
        <w:footnoteRef/>
      </w:r>
      <w:r>
        <w:rPr/>
        <w:t xml:space="preserve"> </w:t>
      </w:r>
      <w:r>
        <w:rPr/>
        <w:t>American Wind Energy Association, “Wind Project Database”, February 15, 2001.</w:t>
      </w:r>
    </w:p>
  </w:footnote>
  <w:footnote w:id="10">
    <w:p>
      <w:pPr>
        <w:pStyle w:val="FootnoteText"/>
        <w:widowControl/>
        <w:rPr/>
      </w:pPr>
      <w:r>
        <w:rPr>
          <w:rStyle w:val="FootnoteCharacters"/>
        </w:rPr>
        <w:footnoteRef/>
      </w:r>
      <w:r>
        <w:rPr/>
        <w:t xml:space="preserve"> </w:t>
      </w:r>
      <w:r>
        <w:rPr/>
        <w:t xml:space="preserve">Center for Resource Solutions, Green-e Program, </w:t>
      </w:r>
      <w:hyperlink r:id="rId1">
        <w:r>
          <w:rPr>
            <w:rStyle w:val="Hyperlink"/>
          </w:rPr>
          <w:t>http://www.green-e.org/switch/pa/pabiz.html</w:t>
        </w:r>
      </w:hyperlink>
      <w:r>
        <w:rPr/>
        <w:t>, February 14, 2001.</w:t>
      </w:r>
    </w:p>
  </w:footnote>
  <w:footnote w:id="11">
    <w:p>
      <w:pPr>
        <w:pStyle w:val="FootnoteText"/>
        <w:widowControl/>
        <w:rPr/>
      </w:pPr>
      <w:r>
        <w:rPr>
          <w:rStyle w:val="FootnoteCharacters"/>
        </w:rPr>
        <w:footnoteRef/>
      </w:r>
      <w:r>
        <w:rPr/>
        <w:t xml:space="preserve"> </w:t>
      </w:r>
      <w:r>
        <w:rPr/>
        <w:t xml:space="preserve">Source: Energy Efficiency and Renewable Energy Network, U.S. Department of Energy, </w:t>
      </w:r>
      <w:r>
        <w:rPr>
          <w:i/>
        </w:rPr>
        <w:t>1999: Renewable Electric Plant Information System</w:t>
      </w:r>
      <w:r>
        <w:rPr/>
        <w:t xml:space="preserve">, October 26, 1999. </w:t>
      </w:r>
    </w:p>
  </w:footnote>
  <w:footnote w:id="12">
    <w:p>
      <w:pPr>
        <w:pStyle w:val="FootnoteText"/>
        <w:widowControl/>
        <w:rPr/>
      </w:pPr>
      <w:r>
        <w:rPr>
          <w:rStyle w:val="FootnoteCharacters"/>
        </w:rPr>
        <w:footnoteRef/>
      </w:r>
      <w:r>
        <w:rPr/>
        <w:t xml:space="preserve"> </w:t>
      </w:r>
      <w:r>
        <w:rPr/>
        <w:t xml:space="preserve">Energy Information Administration, U.S. Department of Energy, </w:t>
      </w:r>
      <w:r>
        <w:rPr>
          <w:i/>
        </w:rPr>
        <w:t>Inventory of Electric Utility Power Plants in the United States 1999</w:t>
      </w:r>
      <w:r>
        <w:rPr/>
        <w:t>, September 2000, pg. 32.</w:t>
      </w:r>
    </w:p>
  </w:footnote>
  <w:footnote w:id="13">
    <w:p>
      <w:pPr>
        <w:pStyle w:val="FootnoteText"/>
        <w:widowControl/>
        <w:rPr/>
      </w:pPr>
      <w:r>
        <w:rPr>
          <w:rStyle w:val="FootnoteCharacters"/>
        </w:rPr>
        <w:footnoteRef/>
      </w:r>
      <w:r>
        <w:rPr/>
        <w:t xml:space="preserve"> </w:t>
      </w:r>
      <w:r>
        <w:rPr/>
        <w:t xml:space="preserve">Center for Resource Solutions, Green-e Program, </w:t>
      </w:r>
      <w:r>
        <w:rPr>
          <w:i/>
        </w:rPr>
        <w:t>Green-e Standard All Regions</w:t>
      </w:r>
      <w:r>
        <w:rPr/>
        <w:t>, October 27, 2000.</w:t>
      </w:r>
    </w:p>
  </w:footnote>
  <w:footnote w:id="14">
    <w:p>
      <w:pPr>
        <w:pStyle w:val="FootnoteText"/>
        <w:widowControl/>
        <w:numPr>
          <w:ilvl w:val="0"/>
          <w:numId w:val="0"/>
        </w:numPr>
        <w:ind w:hanging="0" w:start="0"/>
        <w:rPr/>
      </w:pPr>
      <w:r>
        <w:rPr>
          <w:rStyle w:val="FootnoteCharacters"/>
        </w:rPr>
        <w:footnoteRef/>
      </w:r>
      <w:r>
        <w:rPr/>
        <w:t xml:space="preserve"> </w:t>
      </w:r>
      <w:r>
        <w:rPr/>
        <w:t xml:space="preserve">Energy Information Administration, U.S. Department of Energy, </w:t>
      </w:r>
      <w:r>
        <w:rPr>
          <w:i/>
        </w:rPr>
        <w:t>Annual Energy Outlook 2000</w:t>
      </w:r>
      <w:r>
        <w:rPr/>
        <w:t>, December 1999, pg. 56.</w:t>
      </w:r>
    </w:p>
  </w:footnote>
  <w:footnote w:id="15">
    <w:p>
      <w:pPr>
        <w:pStyle w:val="FootnoteText"/>
        <w:widowControl/>
        <w:numPr>
          <w:ilvl w:val="0"/>
          <w:numId w:val="0"/>
        </w:numPr>
        <w:ind w:hanging="0" w:start="0"/>
        <w:rPr/>
      </w:pPr>
      <w:r>
        <w:rPr>
          <w:rStyle w:val="FootnoteCharacters"/>
        </w:rPr>
        <w:footnoteRef/>
      </w:r>
      <w:r>
        <w:rPr/>
        <w:t xml:space="preserve"> </w:t>
      </w:r>
      <w:r>
        <w:rPr/>
        <w:t>California Energy Markets, No. 588, October 13, 2000, pg. 5.</w:t>
      </w:r>
    </w:p>
  </w:footnote>
  <w:footnote w:id="16">
    <w:p>
      <w:pPr>
        <w:pStyle w:val="FootnoteText"/>
        <w:widowControl/>
        <w:numPr>
          <w:ilvl w:val="0"/>
          <w:numId w:val="0"/>
        </w:numPr>
        <w:ind w:hanging="0" w:start="0"/>
        <w:rPr/>
      </w:pPr>
      <w:r>
        <w:rPr>
          <w:rStyle w:val="FootnoteCharacters"/>
        </w:rPr>
        <w:footnoteRef/>
      </w:r>
      <w:r>
        <w:rPr/>
        <w:t xml:space="preserve"> </w:t>
      </w:r>
      <w:r>
        <w:rPr/>
        <w:t xml:space="preserve">Energy Information Administration, U.S. Department of Energy, </w:t>
      </w:r>
      <w:r>
        <w:rPr>
          <w:i/>
        </w:rPr>
        <w:t>Annual Energy Outlook 2000</w:t>
      </w:r>
      <w:r>
        <w:rPr/>
        <w:t>, December 1999, pg. 37.</w:t>
      </w:r>
    </w:p>
  </w:footnote>
  <w:footnote w:id="17">
    <w:p>
      <w:pPr>
        <w:pStyle w:val="Normal"/>
        <w:numPr>
          <w:ilvl w:val="0"/>
          <w:numId w:val="0"/>
        </w:numPr>
        <w:ind w:hanging="0" w:start="0"/>
        <w:rPr/>
      </w:pPr>
      <w:r>
        <w:rPr>
          <w:rStyle w:val="FootnoteCharacters"/>
        </w:rPr>
        <w:footnoteRef/>
      </w:r>
      <w:r>
        <w:rPr/>
        <w:t xml:space="preserve"> </w:t>
      </w:r>
      <w:r>
        <w:rPr/>
        <w:t>Benchmarking Air Emissions of Electric Utility Generators in the U.S: 1996 Emissions and Generation Data. NRDC, Public Service Electric and Gas Company (PSE&amp;G). June 1998.</w:t>
      </w:r>
    </w:p>
    <w:p>
      <w:pPr>
        <w:pStyle w:val="Normal"/>
        <w:numPr>
          <w:ilvl w:val="0"/>
          <w:numId w:val="0"/>
        </w:numPr>
        <w:ind w:hanging="0" w:start="0"/>
        <w:rPr/>
      </w:pPr>
      <w:r>
        <w:rPr/>
      </w:r>
    </w:p>
  </w:footnote>
  <w:footnote w:id="18">
    <w:p>
      <w:pPr>
        <w:pStyle w:val="FootnoteText"/>
        <w:rPr/>
      </w:pPr>
      <w:r>
        <w:rPr>
          <w:rStyle w:val="FootnoteCharacters"/>
        </w:rPr>
        <w:footnoteRef/>
      </w:r>
      <w:r>
        <w:rPr/>
        <w:t xml:space="preserve"> </w:t>
      </w:r>
      <w:r>
        <w:rPr>
          <w:sz w:val="24"/>
        </w:rPr>
        <w:t>“</w:t>
      </w:r>
      <w:r>
        <w:rPr>
          <w:sz w:val="24"/>
        </w:rPr>
        <w:t xml:space="preserve">Implementation” means that actual installation of energy efficient equipment or conservation practices are initiated at the facility.  </w:t>
      </w:r>
    </w:p>
  </w:footnote>
  <w:footnote w:id="19">
    <w:p>
      <w:pPr>
        <w:pStyle w:val="FootnoteText"/>
        <w:rPr/>
      </w:pPr>
      <w:r>
        <w:rPr>
          <w:rStyle w:val="FootnoteCharacters"/>
        </w:rPr>
        <w:footnoteRef/>
      </w:r>
      <w:r>
        <w:rPr/>
        <w:t xml:space="preserve"> </w:t>
      </w:r>
      <w:r>
        <w:rPr/>
        <w:t>The system mix for this product will follow the current requirements of Green-e products whereby the fossil portion of the product will not have excess emissions, nuclear or coal than the regional mix.</w:t>
      </w:r>
    </w:p>
  </w:footnote>
  <w:footnote w:id="20">
    <w:p>
      <w:pPr>
        <w:pStyle w:val="FootnoteText"/>
        <w:rPr/>
      </w:pPr>
      <w:r>
        <w:rPr>
          <w:rStyle w:val="FootnoteCharacters"/>
        </w:rPr>
        <w:footnoteRef/>
      </w:r>
      <w:r>
        <w:rPr/>
        <w:t xml:space="preserve"> </w:t>
      </w:r>
      <w:r>
        <w:rPr/>
        <w:t>The system mix for this product will follow the current requirements of Green-e products whereby the fossil portion of the product will not have excess emissions, nuclear or coal than the regional mix.</w:t>
      </w:r>
    </w:p>
  </w:footnote>
  <w:footnote w:id="21">
    <w:p>
      <w:pPr>
        <w:pStyle w:val="FootnoteText"/>
        <w:widowControl/>
        <w:rPr/>
      </w:pPr>
      <w:r>
        <w:rPr>
          <w:rStyle w:val="FootnoteCharacters"/>
        </w:rPr>
        <w:footnoteRef/>
      </w:r>
      <w:r>
        <w:rPr/>
        <w:t xml:space="preserve"> </w:t>
      </w:r>
      <w:r>
        <w:rPr/>
        <w:t>Schiller Associates for Center for Resource Solutions, “Pennsylvania Green-e Program Verification Manual for Energy Saving Measures”, June 4, 1999.</w:t>
      </w:r>
    </w:p>
  </w:footnote>
  <w:footnote w:id="22">
    <w:p>
      <w:pPr>
        <w:pStyle w:val="FootnoteText"/>
        <w:widowControl/>
        <w:rPr/>
      </w:pPr>
      <w:r>
        <w:rPr>
          <w:rStyle w:val="FootnoteCharacters"/>
        </w:rPr>
        <w:footnoteRef/>
      </w:r>
      <w:r>
        <w:rPr/>
        <w:t xml:space="preserve"> </w:t>
      </w:r>
      <w:r>
        <w:rPr/>
        <w:t xml:space="preserve">See </w:t>
      </w:r>
      <w:hyperlink r:id="rId2">
        <w:r>
          <w:rPr>
            <w:rStyle w:val="Hyperlink"/>
          </w:rPr>
          <w:t>www.ipmvp.org</w:t>
        </w:r>
      </w:hyperlink>
      <w:r>
        <w:rPr/>
        <w:t>.</w:t>
      </w:r>
    </w:p>
  </w:footnote>
  <w:footnote w:id="23">
    <w:p>
      <w:pPr>
        <w:pStyle w:val="FootnoteText"/>
        <w:widowControl/>
        <w:rPr/>
      </w:pPr>
      <w:r>
        <w:rPr>
          <w:rStyle w:val="FootnoteCharacters"/>
        </w:rPr>
        <w:footnoteRef/>
      </w:r>
      <w:r>
        <w:rPr/>
        <w:t xml:space="preserve"> </w:t>
      </w:r>
      <w:r>
        <w:rPr/>
        <w:t>Office of Energy Efficiency and Renewable Energy, U.S. Department of Energy, “International Performance Measurement &amp; Verification Protocol”(IPMVP), Volume 1, October 2000, pg. 19.</w:t>
      </w:r>
    </w:p>
  </w:footnote>
  <w:footnote w:id="24">
    <w:p>
      <w:pPr>
        <w:pStyle w:val="FootnoteText"/>
        <w:widowControl/>
        <w:rPr/>
      </w:pPr>
      <w:r>
        <w:rPr>
          <w:rStyle w:val="FootnoteCharacters"/>
        </w:rPr>
        <w:footnoteRef/>
      </w:r>
      <w:r>
        <w:rPr/>
        <w:t xml:space="preserve"> </w:t>
      </w:r>
      <w:r>
        <w:rPr/>
        <w:t>IPMVP, Volume 1, October 2000, pg. 17.</w:t>
      </w:r>
    </w:p>
  </w:footnote>
  <w:footnote w:id="25">
    <w:p>
      <w:pPr>
        <w:pStyle w:val="FootnoteText"/>
        <w:widowControl/>
        <w:rPr/>
      </w:pPr>
      <w:r>
        <w:rPr>
          <w:rStyle w:val="FootnoteCharacters"/>
        </w:rPr>
        <w:footnoteRef/>
      </w:r>
      <w:r>
        <w:rPr/>
        <w:t xml:space="preserve"> </w:t>
      </w:r>
      <w:r>
        <w:rPr/>
        <w:t xml:space="preserve">Energy Star Buildings and Green Lights Program, U.S. Environmental Protection Agency, </w:t>
      </w:r>
      <w:r>
        <w:rPr>
          <w:i/>
        </w:rPr>
        <w:t>1998 Year in Review: Reflecting on the Value of Energy Efficiency</w:t>
      </w:r>
      <w:r>
        <w:rPr/>
        <w:t>, June 1999.</w:t>
      </w:r>
    </w:p>
  </w:footnote>
  <w:footnote w:id="26">
    <w:p>
      <w:pPr>
        <w:pStyle w:val="FootnoteText"/>
        <w:widowControl/>
        <w:rPr/>
      </w:pPr>
      <w:r>
        <w:rPr>
          <w:rStyle w:val="FootnoteCharacters"/>
        </w:rPr>
        <w:footnoteRef/>
      </w:r>
      <w:r>
        <w:rPr/>
        <w:t xml:space="preserve"> </w:t>
      </w:r>
      <w:r>
        <w:rPr/>
        <w:t xml:space="preserve">Romm, Joseph J., </w:t>
      </w:r>
      <w:r>
        <w:rPr>
          <w:i/>
        </w:rPr>
        <w:t>Cool Companies:  How the Best Businesses Boost Profits and Productivity by Cutting Greenhouse Gas Emissions</w:t>
      </w:r>
      <w:r>
        <w:rPr/>
        <w:t>,  (Washington, D.C.:  Island Press, 1999).</w:t>
      </w:r>
    </w:p>
  </w:footnote>
  <w:footnote w:id="27">
    <w:p>
      <w:pPr>
        <w:pStyle w:val="FootnoteText"/>
        <w:widowControl/>
        <w:rPr/>
      </w:pPr>
      <w:r>
        <w:rPr>
          <w:rStyle w:val="FootnoteCharacters"/>
        </w:rPr>
        <w:footnoteRef/>
      </w:r>
      <w:r>
        <w:rPr/>
        <w:t xml:space="preserve"> </w:t>
      </w:r>
      <w:r>
        <w:rPr/>
        <w:t>Center for Resource Solutions, “Wholesale / Retail &amp; Resale Marketer’s Agreement: Code of Conduct: Attachment C: Green-e Standard – All Regions”, minimum size for block products, pg. 15.</w:t>
      </w:r>
    </w:p>
  </w:footnote>
  <w:footnote w:id="28">
    <w:p>
      <w:pPr>
        <w:pStyle w:val="FootnoteText"/>
        <w:widowControl/>
        <w:rPr/>
      </w:pPr>
      <w:r>
        <w:rPr>
          <w:rStyle w:val="FootnoteCharacters"/>
        </w:rPr>
        <w:footnoteRef/>
      </w:r>
      <w:r>
        <w:rPr/>
        <w:t xml:space="preserve"> </w:t>
      </w:r>
      <w:r>
        <w:rPr/>
        <w:t xml:space="preserve">Center for Resource Solutions, </w:t>
      </w:r>
      <w:hyperlink r:id="rId3">
        <w:r>
          <w:rPr>
            <w:rStyle w:val="Hyperlink"/>
          </w:rPr>
          <w:t>http://www.resource-solutions.org/mission.html</w:t>
        </w:r>
      </w:hyperlink>
      <w:r>
        <w:rPr/>
        <w:t>, February 2001.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outlineLvl w:val="0"/>
    </w:pPr>
    <w:rPr>
      <w:b/>
      <w:sz w:val="24"/>
    </w:rPr>
  </w:style>
  <w:style w:type="paragraph" w:styleId="Heading2">
    <w:name w:val="heading 2"/>
    <w:basedOn w:val="Normal"/>
    <w:next w:val="Normal"/>
    <w:qFormat/>
    <w:pPr>
      <w:keepNext w:val="true"/>
      <w:widowControl w:val="false"/>
      <w:numPr>
        <w:ilvl w:val="1"/>
        <w:numId w:val="1"/>
      </w:numPr>
      <w:jc w:val="center"/>
      <w:outlineLvl w:val="1"/>
    </w:pPr>
    <w:rPr>
      <w:sz w:val="28"/>
    </w:rPr>
  </w:style>
  <w:style w:type="paragraph" w:styleId="Heading3">
    <w:name w:val="heading 3"/>
    <w:basedOn w:val="Normal"/>
    <w:next w:val="Normal"/>
    <w:qFormat/>
    <w:pPr>
      <w:keepNext w:val="true"/>
      <w:widowControl w:val="false"/>
      <w:numPr>
        <w:ilvl w:val="2"/>
        <w:numId w:val="1"/>
      </w:numPr>
      <w:jc w:val="center"/>
      <w:outlineLvl w:val="2"/>
    </w:pPr>
    <w:rPr>
      <w:b/>
      <w:sz w:val="24"/>
    </w:rPr>
  </w:style>
  <w:style w:type="paragraph" w:styleId="Heading4">
    <w:name w:val="heading 4"/>
    <w:basedOn w:val="Normal"/>
    <w:next w:val="Normal"/>
    <w:qFormat/>
    <w:pPr>
      <w:keepNext w:val="true"/>
      <w:numPr>
        <w:ilvl w:val="3"/>
        <w:numId w:val="1"/>
      </w:numPr>
      <w:jc w:val="center"/>
      <w:outlineLvl w:val="3"/>
    </w:pPr>
    <w:rPr>
      <w:b/>
      <w:sz w:val="18"/>
    </w:rPr>
  </w:style>
  <w:style w:type="paragraph" w:styleId="Heading5">
    <w:name w:val="heading 5"/>
    <w:basedOn w:val="Normal"/>
    <w:next w:val="Normal"/>
    <w:qFormat/>
    <w:pPr>
      <w:keepNext w:val="true"/>
      <w:numPr>
        <w:ilvl w:val="4"/>
        <w:numId w:val="1"/>
      </w:numPr>
      <w:outlineLvl w:val="4"/>
    </w:pPr>
    <w:rPr>
      <w:b/>
      <w:color w:val="FFFFFF"/>
      <w:sz w:val="24"/>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Emphasis">
    <w:name w:val="Emphasis"/>
    <w:basedOn w:val="DefaultParagraphFont"/>
    <w:qFormat/>
    <w:rPr>
      <w:i/>
      <w:sz w:val="20"/>
    </w:rPr>
  </w:style>
  <w:style w:type="character" w:styleId="Strong">
    <w:name w:val="Strong"/>
    <w:basedOn w:val="DefaultParagraphFont"/>
    <w:qFormat/>
    <w:rPr>
      <w:b/>
      <w:sz w:val="20"/>
    </w:rPr>
  </w:style>
  <w:style w:type="character" w:styleId="PageNumber">
    <w:name w:val="page number"/>
    <w:basedOn w:val="DefaultParagraphFont"/>
    <w:rPr>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end"/>
    </w:pPr>
    <w:rPr>
      <w:sz w:val="24"/>
    </w:rPr>
  </w:style>
  <w:style w:type="paragraph" w:styleId="List">
    <w:name w:val="List"/>
    <w:basedOn w:val="BodyText"/>
    <w:pPr/>
    <w:rPr>
      <w:rFonts w:cs="NotoSans NF"/>
    </w:rPr>
  </w:style>
  <w:style w:type="paragraph" w:styleId="Caption">
    <w:name w:val="caption"/>
    <w:basedOn w:val="Normal"/>
    <w:next w:val="Normal"/>
    <w:qFormat/>
    <w:pPr/>
    <w:rPr>
      <w:sz w:val="32"/>
    </w:rPr>
  </w:style>
  <w:style w:type="paragraph" w:styleId="Index">
    <w:name w:val="Index"/>
    <w:basedOn w:val="Normal"/>
    <w:qFormat/>
    <w:pPr>
      <w:suppressLineNumbers/>
    </w:pPr>
    <w:rPr>
      <w:rFonts w:cs="NotoSans NF"/>
    </w:rPr>
  </w:style>
  <w:style w:type="paragraph" w:styleId="NormalWeb">
    <w:name w:val="Normal (Web)"/>
    <w:basedOn w:val="Normal"/>
    <w:qFormat/>
    <w:pPr>
      <w:widowControl w:val="false"/>
      <w:spacing w:before="100" w:after="100"/>
    </w:pPr>
    <w:rPr>
      <w:sz w:val="24"/>
    </w:rPr>
  </w:style>
  <w:style w:type="paragraph" w:styleId="BodyText3">
    <w:name w:val="Body Text 3"/>
    <w:basedOn w:val="Normal"/>
    <w:qFormat/>
    <w:pPr>
      <w:widowControl w:val="false"/>
    </w:pPr>
    <w:rPr>
      <w:color w:val="0000FF"/>
      <w:sz w:val="24"/>
    </w:rPr>
  </w:style>
  <w:style w:type="paragraph" w:styleId="FootnoteText">
    <w:name w:val="footnote text"/>
    <w:basedOn w:val="Normal"/>
    <w:pPr>
      <w:widowControl w:val="fals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 w:val="24"/>
    </w:rPr>
  </w:style>
  <w:style w:type="paragraph" w:styleId="BodyText2">
    <w:name w:val="Body Text 2"/>
    <w:basedOn w:val="Normal"/>
    <w:qFormat/>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yperlink" Target="http://www.cpcn.com/articles/112599/news.cb.wind.shtml" TargetMode="External"/><Relationship Id="rId7" Type="http://schemas.openxmlformats.org/officeDocument/2006/relationships/hyperlink" Target="http://www.energy.gov/" TargetMode="Externa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green-e.org/switch/pa/pabiz.html" TargetMode="External"/><Relationship Id="rId2" Type="http://schemas.openxmlformats.org/officeDocument/2006/relationships/hyperlink" Target="http://www.ipmvp.org/" TargetMode="External"/><Relationship Id="rId3" Type="http://schemas.openxmlformats.org/officeDocument/2006/relationships/hyperlink" Target="http://www.resource-solutions.org/mission.html"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2001-07-26T18:25:00Z</dcterms:created>
  <dc:creator>HP Authorized Customer</dc:creator>
  <dc:description/>
  <dc:language>en-CA</dc:language>
  <cp:lastModifiedBy>hmitche</cp:lastModifiedBy>
  <cp:lastPrinted>2001-07-26T16:14:00Z</cp:lastPrinted>
  <dcterms:modified xsi:type="dcterms:W3CDTF">2001-07-27T07:41:00Z</dcterms:modified>
  <cp:revision>9</cp:revision>
  <dc:subject/>
  <dc:title>Commercial and Industrial </dc:title>
</cp:coreProperties>
</file>