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POTENTIAL CONTRACT EXPOSURE FOR DWR UNDERCOLLECTIONS</w:t>
      </w:r>
    </w:p>
    <w:p>
      <w:pPr>
        <w:pStyle w:val="Normal"/>
        <w:rPr/>
      </w:pPr>
      <w:r>
        <w:rPr/>
      </w:r>
    </w:p>
    <w:p>
      <w:pPr>
        <w:pStyle w:val="Normal"/>
        <w:rPr/>
      </w:pPr>
      <w:r>
        <w:rPr/>
      </w:r>
    </w:p>
    <w:p>
      <w:pPr>
        <w:pStyle w:val="Normal"/>
        <w:numPr>
          <w:ilvl w:val="0"/>
          <w:numId w:val="1"/>
        </w:numPr>
        <w:rPr/>
      </w:pPr>
      <w:r>
        <w:rPr/>
        <w:t>By way of background, in the fourth quarter of 2000 we were becoming increasingly concerned that SCE and PG&amp;E were going to declare bankruptcy and that our claim for “negative CTCs” would not be paid.  We also perceived some risk that a hostile CPUC might permit SCE and PG&amp;E to escape their liability.  Our exposure to SCE at that time was over $100 million and to PG&amp;E was over $300 million.  If we continued to procure power at market rates without the “hedge” afforded by “negative CTCs” we would be increasing our risk further.  The only way to eliminate our exposure to market rates (without the hedge afforded by the negative CTCs) was to re-source our customers to SCE and PG&amp;E.</w:t>
      </w:r>
    </w:p>
    <w:p>
      <w:pPr>
        <w:pStyle w:val="Normal"/>
        <w:rPr/>
      </w:pPr>
      <w:r>
        <w:rPr/>
      </w:r>
    </w:p>
    <w:p>
      <w:pPr>
        <w:pStyle w:val="Normal"/>
        <w:numPr>
          <w:ilvl w:val="0"/>
          <w:numId w:val="1"/>
        </w:numPr>
        <w:rPr/>
      </w:pPr>
      <w:r>
        <w:rPr/>
        <w:t>The primary legal basis for taking this action rested on the doctrine of commercial impracticability (although some contracts contained additional bases for our action).  Under the doctrine of commercial impracticability, a party to a contract is excused from performance if events beyond its control have so altered the fundamental assumptions on which the bargain was based that it would be unfair to hold the party to its bargain.  In invoking the doctrine, we relied upon the general dislocations in the California energy market, the demise of the PX, the utilities’ default of their obligations to us, and other events.  Commercial impracticability as a defense to performance is not favored by the courts.</w:t>
      </w:r>
    </w:p>
    <w:p>
      <w:pPr>
        <w:pStyle w:val="Normal"/>
        <w:rPr/>
      </w:pPr>
      <w:r>
        <w:rPr/>
      </w:r>
    </w:p>
    <w:p>
      <w:pPr>
        <w:pStyle w:val="Normal"/>
        <w:numPr>
          <w:ilvl w:val="0"/>
          <w:numId w:val="1"/>
        </w:numPr>
        <w:rPr/>
      </w:pPr>
      <w:r>
        <w:rPr/>
        <w:t xml:space="preserve">At the time we acted the utilities were procuring power.  Subsequently, the Department of Water Resources began procuring most of the power on the utilities’ behalf.  While any undercollections (the shortfall between frozen rate payments and the cost of power procured at market rates) arguably should have been borne by the utility, once the DWR began procuring power legislation was introduced to pass through the undercollections liability to utility customers.  </w:t>
      </w:r>
    </w:p>
    <w:p>
      <w:pPr>
        <w:pStyle w:val="Normal"/>
        <w:rPr/>
      </w:pPr>
      <w:r>
        <w:rPr/>
      </w:r>
    </w:p>
    <w:p>
      <w:pPr>
        <w:pStyle w:val="Normal"/>
        <w:numPr>
          <w:ilvl w:val="0"/>
          <w:numId w:val="1"/>
        </w:numPr>
        <w:rPr/>
      </w:pPr>
      <w:r>
        <w:rPr/>
        <w:t xml:space="preserve">It is likely that some of our customers will look to us to indemnify them for whatever liability for undercollections is assessed against them for the four months they were on bundled service.  In doing so, they will argue that in our notification to them of our action we assured them that our action would not affect the price they paid for power.  We have at least two defenses to such claims:  first, we cannot be liable unless our action was in breach of contract and, under the doctrine of commercial impracticability, it was not; secondly, the contract excludes any liability for indirect damages, which these arguably are.  </w:t>
      </w:r>
    </w:p>
    <w:p>
      <w:pPr>
        <w:pStyle w:val="Normal"/>
        <w:rPr/>
      </w:pPr>
      <w:r>
        <w:rPr/>
      </w:r>
    </w:p>
    <w:p>
      <w:pPr>
        <w:pStyle w:val="Normal"/>
        <w:numPr>
          <w:ilvl w:val="0"/>
          <w:numId w:val="1"/>
        </w:numPr>
        <w:rPr/>
      </w:pPr>
      <w:r>
        <w:rPr/>
        <w:t xml:space="preserve">Practically all of our contracts require that this dispute be submitted to arbitration.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60"/>
        </w:tabs>
        <w:ind w:start="6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2001-09-28T17:29:00Z</dcterms:created>
  <dc:creator>rwillia2</dc:creator>
  <dc:description/>
  <dc:language>en-CA</dc:language>
  <cp:lastModifiedBy>rwillia2</cp:lastModifiedBy>
  <dcterms:modified xsi:type="dcterms:W3CDTF">2001-09-28T18:48:00Z</dcterms:modified>
  <cp:revision>3</cp:revision>
  <dc:subject/>
  <dc:title/>
</cp:coreProperties>
</file>