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NatSource LLC</w:t>
      </w:r>
    </w:p>
    <w:p>
      <w:pPr>
        <w:pStyle w:val="Normal"/>
        <w:jc w:val="both"/>
        <w:rPr>
          <w:rFonts w:ascii="Times New Roman" w:hAnsi="Times New Roman" w:cs="Times New Roman"/>
          <w:sz w:val="22"/>
        </w:rPr>
      </w:pPr>
      <w:r>
        <w:rPr>
          <w:rFonts w:cs="Times New Roman" w:ascii="Times New Roman" w:hAnsi="Times New Roman"/>
          <w:sz w:val="22"/>
        </w:rPr>
        <w:t>140 Broadway</w:t>
      </w:r>
    </w:p>
    <w:p>
      <w:pPr>
        <w:pStyle w:val="Normal"/>
        <w:jc w:val="both"/>
        <w:rPr/>
      </w:pPr>
      <w:r>
        <w:rPr>
          <w:rFonts w:cs="Times New Roman" w:ascii="Times New Roman" w:hAnsi="Times New Roman"/>
          <w:sz w:val="22"/>
        </w:rPr>
        <w:t>30</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10005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NatSource LLC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an Enron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NATSOURCE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/mnt/main-storage/datasets/enron-docs/doc/Natsource.doc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NatSource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2000-07-25T14:08:00Z</dcterms:created>
  <dc:creator>ECT</dc:creator>
  <dc:description/>
  <dc:language>en-CA</dc:language>
  <cp:lastModifiedBy>tjones</cp:lastModifiedBy>
  <cp:lastPrinted>2000-07-25T11:40:00Z</cp:lastPrinted>
  <dcterms:modified xsi:type="dcterms:W3CDTF">2000-07-25T14:12:00Z</dcterms:modified>
  <cp:revision>5</cp:revision>
  <dc:subject/>
  <dc:title>Reciprocal Confidentiality Agreement</dc:title>
</cp:coreProperties>
</file>