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pBdr>
          <w:bottom w:val="single" w:sz="6" w:space="1" w:color="000000"/>
        </w:pBdr>
        <w:ind w:hanging="0" w:start="0"/>
        <w:rPr>
          <w:b/>
          <w:smallCaps/>
          <w:sz w:val="28"/>
        </w:rPr>
      </w:pPr>
      <w:r>
        <w:rPr>
          <w:b/>
          <w:smallCaps/>
          <w:sz w:val="28"/>
        </w:rPr>
        <w:t>Assembly Republican Caucus</w:t>
      </w:r>
    </w:p>
    <w:p>
      <w:pPr>
        <w:pStyle w:val="Heading1"/>
        <w:pBdr>
          <w:bottom w:val="single" w:sz="6" w:space="1" w:color="000000"/>
        </w:pBdr>
        <w:ind w:hanging="0" w:start="0"/>
        <w:rPr>
          <w:b/>
          <w:smallCaps/>
          <w:sz w:val="28"/>
        </w:rPr>
      </w:pPr>
      <w:r>
        <w:rPr>
          <w:b/>
          <w:smallCaps/>
          <w:sz w:val="28"/>
        </w:rPr>
        <w:t>Office of Communications</w:t>
      </w:r>
    </w:p>
    <w:p>
      <w:pPr>
        <w:pStyle w:val="Heading1"/>
        <w:ind w:hanging="0" w:start="0"/>
        <w:jc w:val="center"/>
        <w:rPr>
          <w:b/>
          <w:smallCaps/>
          <w:sz w:val="36"/>
        </w:rPr>
      </w:pPr>
      <w:r>
        <w:rPr>
          <w:b/>
          <w:smallCaps/>
          <w:sz w:val="36"/>
        </w:rPr>
      </w:r>
    </w:p>
    <w:p>
      <w:pPr>
        <w:pStyle w:val="Heading1"/>
        <w:ind w:hanging="0" w:start="0"/>
        <w:jc w:val="center"/>
        <w:rPr>
          <w:b/>
          <w:smallCaps/>
          <w:sz w:val="36"/>
        </w:rPr>
      </w:pPr>
      <w:r>
        <w:rPr>
          <w:b/>
          <w:smallCaps/>
          <w:sz w:val="36"/>
        </w:rPr>
        <w:t xml:space="preserve">Republican-Supported </w:t>
      </w:r>
    </w:p>
    <w:p>
      <w:pPr>
        <w:pStyle w:val="Heading1"/>
        <w:ind w:hanging="0" w:start="0"/>
        <w:jc w:val="center"/>
        <w:rPr>
          <w:b/>
          <w:smallCaps/>
          <w:sz w:val="36"/>
        </w:rPr>
      </w:pPr>
      <w:r>
        <w:rPr>
          <w:b/>
          <w:smallCaps/>
          <w:sz w:val="36"/>
        </w:rPr>
        <w:t xml:space="preserve">Natural Gas Legislation </w:t>
      </w:r>
    </w:p>
    <w:p>
      <w:pPr>
        <w:pStyle w:val="Normal"/>
        <w:rPr>
          <w:b/>
          <w:smallCaps/>
          <w:sz w:val="24"/>
        </w:rPr>
      </w:pPr>
      <w:r>
        <w:rPr>
          <w:b/>
          <w:smallCaps/>
          <w:sz w:val="24"/>
        </w:rPr>
      </w:r>
    </w:p>
    <w:p>
      <w:pPr>
        <w:pStyle w:val="Normal"/>
        <w:rPr>
          <w:smallCaps/>
          <w:sz w:val="24"/>
        </w:rPr>
      </w:pPr>
      <w:r>
        <w:rPr>
          <w:smallCaps/>
          <w:sz w:val="24"/>
        </w:rPr>
      </w:r>
    </w:p>
    <w:p>
      <w:pPr>
        <w:pStyle w:val="Heading3"/>
        <w:ind w:hanging="0" w:start="0"/>
        <w:rPr>
          <w:b/>
          <w:smallCaps/>
          <w:sz w:val="28"/>
        </w:rPr>
      </w:pPr>
      <w:r>
        <w:rPr>
          <w:b/>
          <w:smallCaps/>
          <w:sz w:val="28"/>
        </w:rPr>
        <w:t>In-State Gas Production</w:t>
      </w:r>
    </w:p>
    <w:p>
      <w:pPr>
        <w:pStyle w:val="Normal"/>
        <w:rPr>
          <w:b/>
          <w:smallCaps/>
          <w:sz w:val="24"/>
        </w:rPr>
      </w:pPr>
      <w:r>
        <w:rPr>
          <w:b/>
          <w:smallCaps/>
          <w:sz w:val="24"/>
        </w:rPr>
      </w:r>
    </w:p>
    <w:p>
      <w:pPr>
        <w:pStyle w:val="Normal"/>
        <w:rPr>
          <w:b/>
          <w:i/>
          <w:i/>
          <w:smallCaps/>
          <w:sz w:val="24"/>
        </w:rPr>
      </w:pPr>
      <w:r>
        <w:rPr>
          <w:b/>
          <w:smallCaps/>
          <w:sz w:val="24"/>
        </w:rPr>
        <w:t xml:space="preserve">AB 89x/AB 1270 (B. Campbell): Increases in-state gas production </w:t>
      </w:r>
    </w:p>
    <w:p>
      <w:pPr>
        <w:pStyle w:val="BodyTextIndent"/>
        <w:numPr>
          <w:ilvl w:val="0"/>
          <w:numId w:val="10"/>
        </w:numPr>
        <w:rPr>
          <w:smallCaps/>
        </w:rPr>
      </w:pPr>
      <w:r>
        <w:rPr>
          <w:smallCaps/>
        </w:rPr>
        <w:t>Orders the Division of Oil, Gas, and Geothermal Resources (DOGGR) to commission a task force to increase supplies of natural gas produced in California.</w:t>
      </w:r>
    </w:p>
    <w:p>
      <w:pPr>
        <w:pStyle w:val="Normal"/>
        <w:rPr>
          <w:smallCaps/>
          <w:sz w:val="24"/>
        </w:rPr>
      </w:pPr>
      <w:r>
        <w:rPr>
          <w:smallCaps/>
          <w:sz w:val="24"/>
        </w:rPr>
      </w:r>
    </w:p>
    <w:p>
      <w:pPr>
        <w:pStyle w:val="Normal"/>
        <w:rPr>
          <w:b/>
          <w:smallCaps/>
          <w:sz w:val="24"/>
        </w:rPr>
      </w:pPr>
      <w:r>
        <w:rPr>
          <w:b/>
          <w:smallCaps/>
          <w:sz w:val="24"/>
        </w:rPr>
        <w:t>AB 92x/AB 1272 (Campbell): Efficiency Improvements/Co-generation</w:t>
      </w:r>
    </w:p>
    <w:p>
      <w:pPr>
        <w:pStyle w:val="Normal"/>
        <w:numPr>
          <w:ilvl w:val="0"/>
          <w:numId w:val="8"/>
        </w:numPr>
        <w:rPr>
          <w:smallCaps/>
          <w:sz w:val="24"/>
        </w:rPr>
      </w:pPr>
      <w:r>
        <w:rPr>
          <w:smallCaps/>
          <w:sz w:val="24"/>
        </w:rPr>
        <w:t>Streamlines CEQA review for on and off-shore pipeline and exploration activities</w:t>
      </w:r>
    </w:p>
    <w:p>
      <w:pPr>
        <w:pStyle w:val="Normal"/>
        <w:numPr>
          <w:ilvl w:val="0"/>
          <w:numId w:val="8"/>
        </w:numPr>
        <w:rPr>
          <w:smallCaps/>
          <w:sz w:val="24"/>
        </w:rPr>
      </w:pPr>
      <w:r>
        <w:rPr>
          <w:smallCaps/>
          <w:sz w:val="24"/>
        </w:rPr>
        <w:t>Allow small and medium-sized natural gas operators to burn gas for electricity, and allow access to sell on the power grid.</w:t>
      </w:r>
    </w:p>
    <w:p>
      <w:pPr>
        <w:pStyle w:val="Normal"/>
        <w:numPr>
          <w:ilvl w:val="0"/>
          <w:numId w:val="8"/>
        </w:numPr>
        <w:rPr>
          <w:smallCaps/>
          <w:sz w:val="24"/>
        </w:rPr>
      </w:pPr>
      <w:r>
        <w:rPr>
          <w:smallCaps/>
          <w:sz w:val="24"/>
        </w:rPr>
        <w:t>Streamlines permitting process for producers installing treatment equipment.</w:t>
      </w:r>
    </w:p>
    <w:p>
      <w:pPr>
        <w:pStyle w:val="Normal"/>
        <w:numPr>
          <w:ilvl w:val="0"/>
          <w:numId w:val="8"/>
        </w:numPr>
        <w:rPr>
          <w:i/>
          <w:i/>
          <w:smallCaps/>
          <w:sz w:val="24"/>
        </w:rPr>
      </w:pPr>
      <w:r>
        <w:rPr>
          <w:smallCaps/>
          <w:sz w:val="24"/>
        </w:rPr>
        <w:t>(Amendment needed) Repeals Section 454.4 of the PUC Code to allowed cogenerators to burn at higher heat rate than utility-owned generators.</w:t>
      </w:r>
    </w:p>
    <w:p>
      <w:pPr>
        <w:pStyle w:val="Normal"/>
        <w:rPr>
          <w:i/>
          <w:i/>
          <w:smallCaps/>
          <w:sz w:val="24"/>
        </w:rPr>
      </w:pPr>
      <w:r>
        <w:rPr>
          <w:i/>
          <w:smallCaps/>
          <w:sz w:val="24"/>
        </w:rPr>
      </w:r>
    </w:p>
    <w:p>
      <w:pPr>
        <w:pStyle w:val="Normal"/>
        <w:ind w:hanging="360" w:start="360" w:end="0"/>
        <w:rPr>
          <w:b/>
          <w:i/>
          <w:i/>
          <w:smallCaps/>
          <w:sz w:val="24"/>
        </w:rPr>
      </w:pPr>
      <w:r>
        <w:rPr>
          <w:b/>
          <w:smallCaps/>
          <w:sz w:val="24"/>
        </w:rPr>
        <w:t xml:space="preserve">AB 1387 (Cogdill): Streamlines interconnections between gas wells and main gas pipelines.   </w:t>
      </w:r>
    </w:p>
    <w:p>
      <w:pPr>
        <w:pStyle w:val="Normal"/>
        <w:numPr>
          <w:ilvl w:val="0"/>
          <w:numId w:val="9"/>
        </w:numPr>
        <w:rPr>
          <w:smallCaps/>
          <w:sz w:val="24"/>
        </w:rPr>
      </w:pPr>
      <w:r>
        <w:rPr>
          <w:smallCaps/>
          <w:sz w:val="24"/>
        </w:rPr>
        <w:t>Require the utilities to act on requests for interconnection within 21 days.</w:t>
      </w:r>
    </w:p>
    <w:p>
      <w:pPr>
        <w:pStyle w:val="Normal"/>
        <w:numPr>
          <w:ilvl w:val="0"/>
          <w:numId w:val="9"/>
        </w:numPr>
        <w:rPr>
          <w:smallCaps/>
          <w:sz w:val="24"/>
        </w:rPr>
      </w:pPr>
      <w:r>
        <w:rPr>
          <w:smallCaps/>
          <w:sz w:val="24"/>
        </w:rPr>
        <w:t xml:space="preserve">Provides for enforcement of the deadline through an arbitration process.  </w:t>
      </w:r>
    </w:p>
    <w:p>
      <w:pPr>
        <w:pStyle w:val="Normal"/>
        <w:numPr>
          <w:ilvl w:val="0"/>
          <w:numId w:val="9"/>
        </w:numPr>
        <w:rPr>
          <w:smallCaps/>
          <w:sz w:val="24"/>
        </w:rPr>
      </w:pPr>
      <w:r>
        <w:rPr>
          <w:smallCaps/>
          <w:sz w:val="24"/>
        </w:rPr>
        <w:t>Requires counties to act on permit applications related to gas wells within 21 days.</w:t>
      </w:r>
    </w:p>
    <w:p>
      <w:pPr>
        <w:pStyle w:val="Normal"/>
        <w:rPr>
          <w:i/>
          <w:i/>
          <w:smallCaps/>
          <w:sz w:val="24"/>
        </w:rPr>
      </w:pPr>
      <w:r>
        <w:rPr>
          <w:smallCaps/>
          <w:sz w:val="24"/>
        </w:rPr>
        <w:t xml:space="preserve"> </w:t>
      </w:r>
    </w:p>
    <w:p>
      <w:pPr>
        <w:pStyle w:val="Normal"/>
        <w:rPr>
          <w:b/>
          <w:smallCaps/>
          <w:sz w:val="24"/>
        </w:rPr>
      </w:pPr>
      <w:r>
        <w:rPr>
          <w:b/>
          <w:smallCaps/>
          <w:sz w:val="24"/>
        </w:rPr>
        <w:t>AB 1234 (Pescetti): Gathering Line Auction</w:t>
      </w:r>
    </w:p>
    <w:p>
      <w:pPr>
        <w:pStyle w:val="Normal"/>
        <w:numPr>
          <w:ilvl w:val="0"/>
          <w:numId w:val="3"/>
        </w:numPr>
        <w:rPr>
          <w:smallCaps/>
          <w:sz w:val="24"/>
        </w:rPr>
      </w:pPr>
      <w:r>
        <w:rPr>
          <w:smallCaps/>
          <w:sz w:val="24"/>
        </w:rPr>
        <w:t>Requires the utilities to auction their existing gathering lines as well as usable lines that have been retired, as PG&amp;E agreed in the Gas Accord.</w:t>
      </w:r>
    </w:p>
    <w:p>
      <w:pPr>
        <w:pStyle w:val="Normal"/>
        <w:rPr>
          <w:smallCaps/>
          <w:sz w:val="24"/>
        </w:rPr>
      </w:pPr>
      <w:r>
        <w:rPr>
          <w:smallCaps/>
          <w:sz w:val="24"/>
        </w:rPr>
      </w:r>
    </w:p>
    <w:p>
      <w:pPr>
        <w:pStyle w:val="Normal"/>
        <w:rPr>
          <w:b/>
          <w:i/>
          <w:i/>
          <w:smallCaps/>
          <w:sz w:val="24"/>
        </w:rPr>
      </w:pPr>
      <w:r>
        <w:rPr>
          <w:b/>
          <w:smallCaps/>
          <w:sz w:val="24"/>
        </w:rPr>
        <w:t xml:space="preserve">AB 1235 (Pescetti): Tax Incentives/Elimination of double transportation charges  </w:t>
      </w:r>
    </w:p>
    <w:p>
      <w:pPr>
        <w:pStyle w:val="Normal"/>
        <w:numPr>
          <w:ilvl w:val="0"/>
          <w:numId w:val="2"/>
        </w:numPr>
        <w:rPr>
          <w:smallCaps/>
          <w:sz w:val="24"/>
        </w:rPr>
      </w:pPr>
      <w:r>
        <w:rPr>
          <w:smallCaps/>
          <w:sz w:val="24"/>
        </w:rPr>
        <w:t>Removes double charges on local transportation of natural gas for storage or blending.</w:t>
      </w:r>
    </w:p>
    <w:p>
      <w:pPr>
        <w:pStyle w:val="Normal"/>
        <w:numPr>
          <w:ilvl w:val="0"/>
          <w:numId w:val="2"/>
        </w:numPr>
        <w:rPr>
          <w:smallCaps/>
          <w:sz w:val="24"/>
        </w:rPr>
      </w:pPr>
      <w:r>
        <w:rPr>
          <w:smallCaps/>
          <w:sz w:val="24"/>
        </w:rPr>
        <w:t>Manufacturers Investment Credit for oil and gas production.</w:t>
      </w:r>
    </w:p>
    <w:p>
      <w:pPr>
        <w:pStyle w:val="Normal"/>
        <w:numPr>
          <w:ilvl w:val="0"/>
          <w:numId w:val="2"/>
        </w:numPr>
        <w:rPr>
          <w:smallCaps/>
          <w:sz w:val="24"/>
        </w:rPr>
      </w:pPr>
      <w:r>
        <w:rPr>
          <w:smallCaps/>
          <w:sz w:val="24"/>
        </w:rPr>
        <w:t>Tax credits for exploration with 3-D seismic technology.</w:t>
      </w:r>
    </w:p>
    <w:p>
      <w:pPr>
        <w:pStyle w:val="Normal"/>
        <w:numPr>
          <w:ilvl w:val="0"/>
          <w:numId w:val="2"/>
        </w:numPr>
        <w:rPr>
          <w:smallCaps/>
          <w:sz w:val="24"/>
        </w:rPr>
      </w:pPr>
      <w:r>
        <w:rPr>
          <w:smallCaps/>
          <w:sz w:val="24"/>
        </w:rPr>
        <w:t>Tax credits for enhanced oil recovery projects.</w:t>
      </w:r>
    </w:p>
    <w:p>
      <w:pPr>
        <w:pStyle w:val="Normal"/>
        <w:numPr>
          <w:ilvl w:val="0"/>
          <w:numId w:val="2"/>
        </w:numPr>
        <w:rPr>
          <w:smallCaps/>
          <w:sz w:val="24"/>
        </w:rPr>
      </w:pPr>
      <w:r>
        <w:rPr>
          <w:smallCaps/>
          <w:sz w:val="24"/>
        </w:rPr>
        <w:t>Tax credits for “marginal well” production.</w:t>
      </w:r>
    </w:p>
    <w:p>
      <w:pPr>
        <w:pStyle w:val="Normal"/>
        <w:numPr>
          <w:ilvl w:val="0"/>
          <w:numId w:val="2"/>
        </w:numPr>
        <w:rPr>
          <w:smallCaps/>
          <w:sz w:val="24"/>
        </w:rPr>
      </w:pPr>
      <w:r>
        <w:rPr>
          <w:smallCaps/>
          <w:sz w:val="24"/>
        </w:rPr>
        <w:t>Tax credits to utilities for accepting in-state gas.</w:t>
      </w:r>
    </w:p>
    <w:p>
      <w:pPr>
        <w:pStyle w:val="Normal"/>
        <w:numPr>
          <w:ilvl w:val="0"/>
          <w:numId w:val="2"/>
        </w:numPr>
        <w:rPr>
          <w:smallCaps/>
          <w:sz w:val="24"/>
        </w:rPr>
      </w:pPr>
      <w:r>
        <w:rPr>
          <w:smallCaps/>
          <w:sz w:val="24"/>
        </w:rPr>
        <w:t>Should include a tax credit for producers who provide gas to California-based generators.</w:t>
      </w:r>
    </w:p>
    <w:p>
      <w:pPr>
        <w:pStyle w:val="Normal"/>
        <w:rPr>
          <w:smallCaps/>
          <w:sz w:val="24"/>
        </w:rPr>
      </w:pPr>
      <w:r>
        <w:rPr>
          <w:smallCaps/>
          <w:sz w:val="24"/>
        </w:rPr>
      </w:r>
    </w:p>
    <w:p>
      <w:pPr>
        <w:pStyle w:val="Heading1"/>
        <w:ind w:hanging="0" w:start="0"/>
        <w:rPr>
          <w:b/>
          <w:smallCaps/>
          <w:sz w:val="28"/>
          <w:u w:val="single"/>
        </w:rPr>
      </w:pPr>
      <w:r>
        <w:rPr>
          <w:b/>
          <w:smallCaps/>
          <w:sz w:val="28"/>
          <w:u w:val="single"/>
        </w:rPr>
        <w:t>Retail Prices</w:t>
      </w:r>
    </w:p>
    <w:p>
      <w:pPr>
        <w:pStyle w:val="Normal"/>
        <w:rPr>
          <w:b/>
          <w:smallCaps/>
          <w:sz w:val="24"/>
          <w:u w:val="single"/>
        </w:rPr>
      </w:pPr>
      <w:r>
        <w:rPr>
          <w:b/>
          <w:smallCaps/>
          <w:sz w:val="24"/>
          <w:u w:val="single"/>
        </w:rPr>
      </w:r>
    </w:p>
    <w:p>
      <w:pPr>
        <w:pStyle w:val="Normal"/>
        <w:rPr>
          <w:b/>
          <w:smallCaps/>
          <w:sz w:val="24"/>
        </w:rPr>
      </w:pPr>
      <w:r>
        <w:rPr>
          <w:b/>
          <w:smallCaps/>
          <w:sz w:val="24"/>
        </w:rPr>
        <w:t>AB 1233 (Pescetti): Prohibit non-core customers from switching to core service (Spot Bill).</w:t>
      </w:r>
    </w:p>
    <w:p>
      <w:pPr>
        <w:pStyle w:val="BodyTextIndent"/>
        <w:ind w:start="0" w:end="0"/>
        <w:rPr>
          <w:smallCaps/>
        </w:rPr>
      </w:pPr>
      <w:r>
        <w:rPr>
          <w:smallCaps/>
        </w:rPr>
        <w:t>Prohibits large gas users (non-core) from switching to core service unless they:</w:t>
      </w:r>
    </w:p>
    <w:p>
      <w:pPr>
        <w:pStyle w:val="BodyTextIndent"/>
        <w:numPr>
          <w:ilvl w:val="0"/>
          <w:numId w:val="6"/>
        </w:numPr>
        <w:rPr>
          <w:smallCaps/>
        </w:rPr>
      </w:pPr>
      <w:r>
        <w:rPr>
          <w:smallCaps/>
        </w:rPr>
        <w:t>Agree to a five-year commitment to the core program</w:t>
      </w:r>
    </w:p>
    <w:p>
      <w:pPr>
        <w:pStyle w:val="BodyTextIndent"/>
        <w:numPr>
          <w:ilvl w:val="0"/>
          <w:numId w:val="6"/>
        </w:numPr>
        <w:rPr>
          <w:smallCaps/>
        </w:rPr>
      </w:pPr>
      <w:r>
        <w:rPr>
          <w:smallCaps/>
        </w:rPr>
        <w:t xml:space="preserve">Switching customers are required to pay a surcharge to cover the incremental procurement costs. </w:t>
      </w:r>
    </w:p>
    <w:p>
      <w:pPr>
        <w:pStyle w:val="BodyTextIndent"/>
        <w:numPr>
          <w:ilvl w:val="0"/>
          <w:numId w:val="6"/>
        </w:numPr>
        <w:rPr>
          <w:smallCaps/>
        </w:rPr>
      </w:pPr>
      <w:r>
        <w:rPr>
          <w:smallCaps/>
        </w:rPr>
        <w:t>Power plants above 300 Megawatts are not allowed to switch.</w:t>
      </w:r>
    </w:p>
    <w:p>
      <w:pPr>
        <w:pStyle w:val="Normal"/>
        <w:rPr>
          <w:rFonts w:ascii="Arial" w:hAnsi="Arial" w:cs="Arial"/>
          <w:smallCaps/>
          <w:color w:val="0000FF"/>
          <w:lang w:eastAsia="en-US"/>
        </w:rPr>
      </w:pPr>
      <w:r>
        <w:rPr>
          <w:rFonts w:cs="Arial" w:ascii="Arial" w:hAnsi="Arial"/>
          <w:smallCaps/>
          <w:color w:val="0000FF"/>
          <w:lang w:eastAsia="en-US"/>
        </w:rPr>
      </w:r>
    </w:p>
    <w:p>
      <w:pPr>
        <w:pStyle w:val="Heading5"/>
        <w:ind w:hanging="0" w:start="0"/>
        <w:rPr/>
      </w:pPr>
      <w:r>
        <w:rPr/>
        <w:t>Preventing Further Rate Increases</w:t>
      </w:r>
    </w:p>
    <w:p>
      <w:pPr>
        <w:pStyle w:val="Normal"/>
        <w:rPr/>
      </w:pPr>
      <w:r>
        <w:rPr/>
      </w:r>
    </w:p>
    <w:p>
      <w:pPr>
        <w:pStyle w:val="Heading6"/>
        <w:ind w:hanging="0" w:start="0"/>
        <w:rPr/>
      </w:pPr>
      <w:r>
        <w:rPr/>
        <w:t>AB 835 (Wyland): San Diego Gas &amp; Electric Company</w:t>
      </w:r>
    </w:p>
    <w:p>
      <w:pPr>
        <w:pStyle w:val="Normal"/>
        <w:numPr>
          <w:ilvl w:val="0"/>
          <w:numId w:val="12"/>
        </w:numPr>
        <w:rPr>
          <w:smallCaps/>
          <w:sz w:val="24"/>
        </w:rPr>
      </w:pPr>
      <w:r>
        <w:rPr>
          <w:smallCaps/>
          <w:sz w:val="24"/>
        </w:rPr>
        <w:t xml:space="preserve">This bill would declare that it is the intent of the Legislature to enact appropriate legislation that would prevent further San Diego Gas and Electric Company rate increases.  </w:t>
      </w:r>
    </w:p>
    <w:p>
      <w:pPr>
        <w:pStyle w:val="Heading1"/>
        <w:numPr>
          <w:ilvl w:val="0"/>
          <w:numId w:val="5"/>
        </w:numPr>
        <w:rPr>
          <w:smallCaps/>
        </w:rPr>
      </w:pPr>
      <w:r>
        <w:rPr>
          <w:smallCaps/>
        </w:rPr>
        <w:t>This bill would also declare the intent of the Legislature to enact appropriate legislation that would reduce the rate for San Diego Gas and Electric customers by eliminating the portion of the rate that currently goes into the balancing account and to use budget surplus funds to pay off the balancing account.</w:t>
      </w:r>
    </w:p>
    <w:p>
      <w:pPr>
        <w:pStyle w:val="Heading1"/>
        <w:ind w:hanging="0" w:start="0"/>
        <w:rPr>
          <w:smallCaps/>
        </w:rPr>
      </w:pPr>
      <w:r>
        <w:rPr>
          <w:smallCaps/>
        </w:rPr>
        <w:t xml:space="preserve">    </w:t>
      </w:r>
    </w:p>
    <w:p>
      <w:pPr>
        <w:pStyle w:val="Heading1"/>
        <w:ind w:hanging="0" w:start="0"/>
        <w:rPr>
          <w:b/>
          <w:smallCaps/>
          <w:sz w:val="28"/>
          <w:u w:val="single"/>
        </w:rPr>
      </w:pPr>
      <w:r>
        <w:rPr>
          <w:b/>
          <w:smallCaps/>
          <w:sz w:val="28"/>
          <w:u w:val="single"/>
        </w:rPr>
        <w:t>Pipeline Expansion</w:t>
      </w:r>
    </w:p>
    <w:p>
      <w:pPr>
        <w:pStyle w:val="Normal"/>
        <w:rPr>
          <w:b/>
          <w:smallCaps/>
          <w:sz w:val="24"/>
          <w:u w:val="single"/>
        </w:rPr>
      </w:pPr>
      <w:r>
        <w:rPr>
          <w:b/>
          <w:smallCaps/>
          <w:sz w:val="24"/>
          <w:u w:val="single"/>
        </w:rPr>
      </w:r>
    </w:p>
    <w:p>
      <w:pPr>
        <w:pStyle w:val="Normal"/>
        <w:rPr>
          <w:b/>
          <w:smallCaps/>
          <w:sz w:val="24"/>
        </w:rPr>
      </w:pPr>
      <w:r>
        <w:rPr>
          <w:b/>
          <w:smallCaps/>
          <w:sz w:val="24"/>
        </w:rPr>
        <w:t xml:space="preserve">AB 1445 (Pescetti): Pipeline Capacity </w:t>
      </w:r>
    </w:p>
    <w:p>
      <w:pPr>
        <w:pStyle w:val="Normal"/>
        <w:numPr>
          <w:ilvl w:val="0"/>
          <w:numId w:val="7"/>
        </w:numPr>
        <w:rPr>
          <w:smallCaps/>
          <w:sz w:val="24"/>
        </w:rPr>
      </w:pPr>
      <w:r>
        <w:rPr>
          <w:smallCaps/>
          <w:sz w:val="24"/>
        </w:rPr>
        <w:t xml:space="preserve">Requires PUC to review current pipeline capacity to determine whether that capacity is sufficient to maintain price stability and to supply electrical generators.  </w:t>
      </w:r>
    </w:p>
    <w:p>
      <w:pPr>
        <w:pStyle w:val="Normal"/>
        <w:numPr>
          <w:ilvl w:val="0"/>
          <w:numId w:val="7"/>
        </w:numPr>
        <w:rPr>
          <w:smallCaps/>
          <w:sz w:val="24"/>
        </w:rPr>
      </w:pPr>
      <w:r>
        <w:rPr>
          <w:smallCaps/>
          <w:sz w:val="24"/>
        </w:rPr>
        <w:t xml:space="preserve">If insufficient, PUC shall order utilities to build new pipelines to meet needs. </w:t>
      </w:r>
    </w:p>
    <w:p>
      <w:pPr>
        <w:pStyle w:val="Normal"/>
        <w:rPr>
          <w:b/>
          <w:smallCaps/>
          <w:sz w:val="28"/>
          <w:u w:val="single"/>
        </w:rPr>
      </w:pPr>
      <w:r>
        <w:rPr>
          <w:b/>
          <w:smallCaps/>
          <w:sz w:val="28"/>
          <w:u w:val="single"/>
        </w:rPr>
      </w:r>
    </w:p>
    <w:p>
      <w:pPr>
        <w:pStyle w:val="Heading5"/>
        <w:ind w:hanging="0" w:start="0"/>
        <w:rPr/>
      </w:pPr>
      <w:r>
        <w:rPr/>
        <w:t>Funding For Low-Income &amp; Senior Customers</w:t>
      </w:r>
    </w:p>
    <w:p>
      <w:pPr>
        <w:pStyle w:val="Normal"/>
        <w:rPr>
          <w:b/>
          <w:smallCaps/>
          <w:sz w:val="28"/>
          <w:u w:val="single"/>
        </w:rPr>
      </w:pPr>
      <w:r>
        <w:rPr>
          <w:b/>
          <w:smallCaps/>
          <w:sz w:val="28"/>
          <w:u w:val="single"/>
        </w:rPr>
      </w:r>
    </w:p>
    <w:p>
      <w:pPr>
        <w:pStyle w:val="Heading6"/>
        <w:ind w:hanging="0" w:start="0"/>
        <w:rPr/>
      </w:pPr>
      <w:r>
        <w:rPr/>
        <w:t>AB 3x (Wright): California Alternate Rates for Energy or CARE Program</w:t>
      </w:r>
    </w:p>
    <w:p>
      <w:pPr>
        <w:pStyle w:val="Normal"/>
        <w:numPr>
          <w:ilvl w:val="0"/>
          <w:numId w:val="12"/>
        </w:numPr>
        <w:rPr>
          <w:smallCaps/>
          <w:sz w:val="24"/>
        </w:rPr>
      </w:pPr>
      <w:r>
        <w:rPr>
          <w:smallCaps/>
          <w:sz w:val="24"/>
        </w:rPr>
        <w:t>The Investor-Owned Utilities (IOUs) shall deem a customer enrolled in the California Alternate Rate for Energy (CARE) program after the effective date of the bill, but before August 1, 2001, to be enrolled as of that effective date of this bill.</w:t>
      </w:r>
    </w:p>
    <w:p>
      <w:pPr>
        <w:pStyle w:val="Normal"/>
        <w:numPr>
          <w:ilvl w:val="0"/>
          <w:numId w:val="12"/>
        </w:numPr>
        <w:rPr>
          <w:smallCaps/>
          <w:sz w:val="24"/>
        </w:rPr>
      </w:pPr>
      <w:r>
        <w:rPr>
          <w:smallCaps/>
          <w:sz w:val="24"/>
        </w:rPr>
        <w:t>The PUC require an IOU to promote higher participation rates for low-income persons and seniors in the CARE program.</w:t>
      </w:r>
    </w:p>
    <w:p>
      <w:pPr>
        <w:pStyle w:val="Normal"/>
        <w:numPr>
          <w:ilvl w:val="0"/>
          <w:numId w:val="12"/>
        </w:numPr>
        <w:rPr>
          <w:smallCaps/>
          <w:sz w:val="24"/>
        </w:rPr>
      </w:pPr>
      <w:r>
        <w:rPr>
          <w:smallCaps/>
          <w:sz w:val="24"/>
        </w:rPr>
        <w:t>The PUC will also require an IOU to protect low-income persons and seniors from unwarranted disconnection of electric and gas services.</w:t>
      </w:r>
    </w:p>
    <w:p>
      <w:pPr>
        <w:pStyle w:val="Normal"/>
        <w:rPr>
          <w:smallCaps/>
          <w:sz w:val="24"/>
        </w:rPr>
      </w:pPr>
      <w:r>
        <w:rPr>
          <w:smallCaps/>
          <w:sz w:val="24"/>
        </w:rPr>
      </w:r>
    </w:p>
    <w:p>
      <w:pPr>
        <w:pStyle w:val="BodyText"/>
        <w:rPr>
          <w:rFonts w:ascii="Times New Roman" w:hAnsi="Times New Roman" w:cs="Times New Roman"/>
          <w:b/>
        </w:rPr>
      </w:pPr>
      <w:r>
        <w:rPr>
          <w:rFonts w:cs="Times New Roman" w:ascii="Times New Roman" w:hAnsi="Times New Roman"/>
          <w:b/>
        </w:rPr>
        <w:t xml:space="preserve">AB 836 (Wyland) </w:t>
      </w:r>
    </w:p>
    <w:p>
      <w:pPr>
        <w:pStyle w:val="BodyText"/>
        <w:numPr>
          <w:ilvl w:val="0"/>
          <w:numId w:val="11"/>
        </w:numPr>
        <w:rPr>
          <w:rFonts w:ascii="Times New Roman" w:hAnsi="Times New Roman" w:cs="Times New Roman"/>
        </w:rPr>
      </w:pPr>
      <w:r>
        <w:rPr>
          <w:rFonts w:cs="Times New Roman" w:ascii="Times New Roman" w:hAnsi="Times New Roman"/>
        </w:rPr>
        <w:t>This bill would require the State and Consumer Services Agency establish a</w:t>
      </w:r>
    </w:p>
    <w:p>
      <w:pPr>
        <w:pStyle w:val="BodyTex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program for reimbursement of increased energy costs to consumers during a</w:t>
      </w:r>
    </w:p>
    <w:p>
      <w:pPr>
        <w:pStyle w:val="BodyTex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prescribed period.  </w:t>
      </w:r>
    </w:p>
    <w:p>
      <w:pPr>
        <w:pStyle w:val="BodyText"/>
        <w:numPr>
          <w:ilvl w:val="0"/>
          <w:numId w:val="4"/>
        </w:numPr>
        <w:rPr>
          <w:rFonts w:ascii="Times New Roman" w:hAnsi="Times New Roman" w:cs="Times New Roman"/>
        </w:rPr>
      </w:pPr>
      <w:r>
        <w:rPr>
          <w:rFonts w:cs="Times New Roman" w:ascii="Times New Roman" w:hAnsi="Times New Roman"/>
        </w:rPr>
        <w:t>The bill would appropriate surplus funds, as defined, to</w:t>
      </w:r>
    </w:p>
    <w:p>
      <w:pPr>
        <w:pStyle w:val="BodyText"/>
        <w:ind w:start="360" w:end="0"/>
        <w:rPr>
          <w:rFonts w:ascii="Times New Roman" w:hAnsi="Times New Roman" w:cs="Times New Roman"/>
        </w:rPr>
      </w:pPr>
      <w:r>
        <w:rPr>
          <w:rFonts w:cs="Times New Roman" w:ascii="Times New Roman" w:hAnsi="Times New Roman"/>
        </w:rPr>
        <w:t>the Controller for allocation to the State and Consumer Services Agency for payment to consumers to defray excess energy costs, as defined by the Secretary of State and Consumer Services.</w:t>
      </w:r>
    </w:p>
    <w:p>
      <w:pPr>
        <w:pStyle w:val="Normal"/>
        <w:rPr>
          <w:rFonts w:ascii="Times New Roman" w:hAnsi="Times New Roman" w:cs="Times New Roman"/>
          <w:smallCaps/>
          <w:sz w:val="24"/>
        </w:rPr>
      </w:pPr>
      <w:r>
        <w:rPr>
          <w:rFonts w:cs="Times New Roman"/>
          <w:smallCaps/>
          <w:sz w:val="24"/>
        </w:rPr>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ind w:hanging="0" w:start="360" w:end="0"/>
      <w:outlineLvl w:val="1"/>
    </w:pPr>
    <w:rPr>
      <w:b/>
      <w:sz w:val="24"/>
    </w:rPr>
  </w:style>
  <w:style w:type="paragraph" w:styleId="Heading3">
    <w:name w:val="heading 3"/>
    <w:basedOn w:val="Normal"/>
    <w:next w:val="Normal"/>
    <w:qFormat/>
    <w:pPr>
      <w:keepNext w:val="true"/>
      <w:numPr>
        <w:ilvl w:val="2"/>
        <w:numId w:val="1"/>
      </w:numPr>
      <w:outlineLvl w:val="2"/>
    </w:pPr>
    <w:rPr>
      <w:sz w:val="32"/>
      <w:u w:val="single"/>
    </w:rPr>
  </w:style>
  <w:style w:type="paragraph" w:styleId="Heading4">
    <w:name w:val="heading 4"/>
    <w:basedOn w:val="Normal"/>
    <w:next w:val="Normal"/>
    <w:qFormat/>
    <w:pPr>
      <w:keepNext w:val="true"/>
      <w:numPr>
        <w:ilvl w:val="3"/>
        <w:numId w:val="1"/>
      </w:numPr>
      <w:ind w:hanging="0" w:start="360" w:end="0"/>
      <w:outlineLvl w:val="3"/>
    </w:pPr>
    <w:rPr>
      <w:b/>
      <w:sz w:val="28"/>
    </w:rPr>
  </w:style>
  <w:style w:type="paragraph" w:styleId="Heading5">
    <w:name w:val="heading 5"/>
    <w:basedOn w:val="Normal"/>
    <w:next w:val="Normal"/>
    <w:qFormat/>
    <w:pPr>
      <w:keepNext w:val="true"/>
      <w:numPr>
        <w:ilvl w:val="4"/>
        <w:numId w:val="1"/>
      </w:numPr>
      <w:outlineLvl w:val="4"/>
    </w:pPr>
    <w:rPr>
      <w:b/>
      <w:smallCaps/>
      <w:sz w:val="28"/>
      <w:u w:val="single"/>
    </w:rPr>
  </w:style>
  <w:style w:type="paragraph" w:styleId="Heading6">
    <w:name w:val="heading 6"/>
    <w:basedOn w:val="Normal"/>
    <w:next w:val="Normal"/>
    <w:qFormat/>
    <w:pPr>
      <w:keepNext w:val="true"/>
      <w:numPr>
        <w:ilvl w:val="5"/>
        <w:numId w:val="1"/>
      </w:numPr>
      <w:outlineLvl w:val="5"/>
    </w:pPr>
    <w:rPr>
      <w:b/>
      <w:smallCaps/>
      <w:sz w:val="24"/>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mallCaps/>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2001-03-02T19:07:00Z</dcterms:created>
  <dc:creator>Dana P. Muraski</dc:creator>
  <dc:description/>
  <dc:language>en-CA</dc:language>
  <cp:lastModifiedBy>Dana P. Muraski</cp:lastModifiedBy>
  <dcterms:modified xsi:type="dcterms:W3CDTF">2001-03-05T14:55:00Z</dcterms:modified>
  <cp:revision>6</cp:revision>
  <dc:subject/>
  <dc:title>ASSEMBLY REPUBLICAN CAUCUS</dc:title>
</cp:coreProperties>
</file>