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8"/>
        </w:rPr>
      </w:pPr>
      <w:r>
        <w:rPr>
          <w:sz w:val="28"/>
        </w:rPr>
      </w:r>
    </w:p>
    <w:p>
      <w:pPr>
        <w:pStyle w:val="Normal"/>
        <w:rPr>
          <w:sz w:val="28"/>
        </w:rPr>
      </w:pPr>
      <w:r>
        <w:rPr>
          <w:sz w:val="28"/>
        </w:rPr>
        <w:t xml:space="preserve">Piedmont Natural Gas Company is soliciting bids from qualified suppliers to provide asset management services for Nashville Gas Company (Nashville), a division of Piedmont Natural Gas Company, Inc.  If selected, the asset manager will utilize Nashville’s existing supply assets (listed on attachment A) to provide city gate deliveries upon Nashville’s request.  Nashville will release or provide agency status to, Nashville’s firm transportation, storage (excluding local LNG) and supply rights to the selected bidder.  If more than one bidder is selected, assets will be assigned or provided agency status, on a pro-rata basis.  The term of the asset management arrangement will be for a one year period commencing November 1, 2000.  </w:t>
      </w:r>
    </w:p>
    <w:p>
      <w:pPr>
        <w:pStyle w:val="Normal"/>
        <w:rPr>
          <w:sz w:val="28"/>
        </w:rPr>
      </w:pPr>
      <w:r>
        <w:rPr>
          <w:sz w:val="28"/>
        </w:rPr>
      </w:r>
    </w:p>
    <w:p>
      <w:pPr>
        <w:pStyle w:val="Normal"/>
        <w:rPr>
          <w:sz w:val="28"/>
        </w:rPr>
      </w:pPr>
      <w:r>
        <w:rPr>
          <w:sz w:val="28"/>
        </w:rPr>
        <w:t>Nashville will request daily and monthly deliveries to its city gate from the selected bidder(s) as if Nashville had retained the aforementioned assets and continued to manage its own firm supply and capacity assets.  Deliveries must be made by the asset manager at the requested delivery points, up to contractual limitations. Intraday nomination rights will be retained by Nashville, with time allowances made for notification purposes to the selected bidder(s).</w:t>
      </w:r>
    </w:p>
    <w:p>
      <w:pPr>
        <w:pStyle w:val="Normal"/>
        <w:rPr>
          <w:sz w:val="28"/>
        </w:rPr>
      </w:pPr>
      <w:r>
        <w:rPr>
          <w:sz w:val="28"/>
        </w:rPr>
      </w:r>
    </w:p>
    <w:p>
      <w:pPr>
        <w:pStyle w:val="Normal"/>
        <w:rPr>
          <w:sz w:val="28"/>
        </w:rPr>
      </w:pPr>
      <w:r>
        <w:rPr>
          <w:sz w:val="28"/>
        </w:rPr>
        <w:t xml:space="preserve">Nashville will be responsible for the payment of all demand charges and reservation fees on either a normal or charge back basis.  Demand charge refunds and/or surcharges will be received or paid by Nashville.  Commodity charges will be paid by Nashville consistent with the terms of the contracts and tariffs utilized by Nashville. Any demand or commodity charges incurred by bidder utilizing released assets for deliveries to parties other than Nashville will be paid by bidder.  Bidder will be responsible for all penalties, cashouts and charges not directly caused by Nashville.  </w:t>
      </w:r>
    </w:p>
    <w:p>
      <w:pPr>
        <w:pStyle w:val="Normal"/>
        <w:rPr>
          <w:sz w:val="28"/>
        </w:rPr>
      </w:pPr>
      <w:r>
        <w:rPr>
          <w:sz w:val="28"/>
        </w:rPr>
      </w:r>
    </w:p>
    <w:p>
      <w:pPr>
        <w:pStyle w:val="Heading1"/>
        <w:ind w:hanging="0" w:start="0"/>
        <w:rPr/>
      </w:pPr>
      <w:r>
        <w:rPr/>
        <w:t>I. Storages</w:t>
      </w:r>
    </w:p>
    <w:p>
      <w:pPr>
        <w:pStyle w:val="Normal"/>
        <w:rPr/>
      </w:pPr>
      <w:r>
        <w:rPr/>
      </w:r>
    </w:p>
    <w:p>
      <w:pPr>
        <w:pStyle w:val="Heading3"/>
        <w:ind w:hanging="0" w:start="0"/>
        <w:rPr/>
      </w:pPr>
      <w:r>
        <w:rPr/>
        <w:t>Winter Period</w:t>
      </w:r>
    </w:p>
    <w:p>
      <w:pPr>
        <w:pStyle w:val="Normal"/>
        <w:rPr>
          <w:sz w:val="28"/>
        </w:rPr>
      </w:pPr>
      <w:r>
        <w:rPr>
          <w:sz w:val="28"/>
        </w:rPr>
        <w:t>On November 1, 2000, Nashville will transfer to bidder(s) its existing storage  inventories on CNG, Columbia and Tennessee.  These balances are estimated to be 350,000 dt for CNG, 611,870 dt for Columbia, and 2,859,227 dt for Tennessee.  During the winter season (November 1, 2000 through April 15, 2001) Nashville will nominate injection or withdrawal quantities through the asset manager on a daily and monthly basis. Nashville reserves the right to nominate quantities to and from Tennessee, CNG and Columbia storages within GISB intraday nomination guidelines for daily balancing purposes.</w:t>
      </w:r>
    </w:p>
    <w:p>
      <w:pPr>
        <w:pStyle w:val="Normal"/>
        <w:rPr>
          <w:sz w:val="28"/>
        </w:rPr>
      </w:pPr>
      <w:r>
        <w:rPr>
          <w:sz w:val="28"/>
        </w:rPr>
      </w:r>
    </w:p>
    <w:p>
      <w:pPr>
        <w:pStyle w:val="Heading3"/>
        <w:ind w:hanging="0" w:start="0"/>
        <w:rPr/>
      </w:pPr>
      <w:r>
        <w:rPr/>
        <w:t>Summer Period</w:t>
      </w:r>
    </w:p>
    <w:p>
      <w:pPr>
        <w:pStyle w:val="Normal"/>
        <w:rPr>
          <w:sz w:val="28"/>
        </w:rPr>
      </w:pPr>
      <w:r>
        <w:rPr>
          <w:sz w:val="28"/>
        </w:rPr>
        <w:t xml:space="preserve">The asset manager will nominate additional quantities for injection into storage at its discretion, up to tariff injection limitations, during the summer season (April 15, 2001 through October 31, 2001).  The Tennessee storage will be returned 80% full, and the Columbia and CNG storages will be returned 100% full as of November 1, 2001. Failure of the asset manager to provide these storage volumes will result in Nashville selling or buying storage volumes at market prices to achieve the appropriate storage balances, with the asset manager compensating Nashville for any incurred cost or losses. Nashville reserves the right to nominate quantities to and from Tennessee and Columbia storages within GISB intraday nomination guidelines for daily balancing purposes, but such injections and withdrawals will not add to or subtract from the required balances to be injected during the summer period to reach the storage inventory goals. </w:t>
      </w:r>
    </w:p>
    <w:p>
      <w:pPr>
        <w:pStyle w:val="Normal"/>
        <w:rPr>
          <w:sz w:val="28"/>
        </w:rPr>
      </w:pPr>
      <w:r>
        <w:rPr>
          <w:sz w:val="28"/>
        </w:rPr>
      </w:r>
    </w:p>
    <w:p>
      <w:pPr>
        <w:pStyle w:val="Normal"/>
        <w:rPr>
          <w:sz w:val="28"/>
        </w:rPr>
      </w:pPr>
      <w:r>
        <w:rPr>
          <w:sz w:val="28"/>
        </w:rPr>
        <w:t>The following conditions will apply to storage operations:</w:t>
      </w:r>
    </w:p>
    <w:p>
      <w:pPr>
        <w:pStyle w:val="Normal"/>
        <w:numPr>
          <w:ilvl w:val="0"/>
          <w:numId w:val="2"/>
        </w:numPr>
        <w:rPr>
          <w:sz w:val="28"/>
        </w:rPr>
      </w:pPr>
      <w:r>
        <w:rPr>
          <w:sz w:val="28"/>
        </w:rPr>
        <w:t xml:space="preserve">When Nashville requests withdrawals from CNG storage, deliveries are to be made at the interconnection of CNG and Columbia at Rockport, Piedmont’s city gate on Transco, the interconnection of Columbia Transmission and Transco at Boswells Tavern or Nashville’s city gate on Columbia Gulf.  If deliveries are made at Piedmont’s city gate, the variable cost charged Piedmont will be the CNG FT variable commodity charge, plus the Columbia Transmission FTS variable cost, plus the Sunbelt FT variable cost for Zone 5 on Transco, plus applicable surcharges.  If deliveries are made at Nashville’s city gate via Columbia Gulf or Rockport, the variable cost charged Nashville will be the CNG variable FT commodity charges, plus applicable surcharges. </w:t>
      </w:r>
    </w:p>
    <w:p>
      <w:pPr>
        <w:pStyle w:val="Normal"/>
        <w:numPr>
          <w:ilvl w:val="0"/>
          <w:numId w:val="2"/>
        </w:numPr>
        <w:rPr>
          <w:sz w:val="28"/>
        </w:rPr>
      </w:pPr>
      <w:r>
        <w:rPr>
          <w:sz w:val="28"/>
        </w:rPr>
        <w:t xml:space="preserve">The price charged for quantities injected into CNG storage will be the INSIDE FERC first of the month index for Tetco, East LA, plus the maximum IT rate and fuel for Tetco from East LA to M1.  Nashville does not anticipate injections into CNG storage during the winter period.  </w:t>
      </w:r>
    </w:p>
    <w:p>
      <w:pPr>
        <w:pStyle w:val="Normal"/>
        <w:numPr>
          <w:ilvl w:val="0"/>
          <w:numId w:val="2"/>
        </w:numPr>
        <w:rPr>
          <w:sz w:val="28"/>
        </w:rPr>
      </w:pPr>
      <w:r>
        <w:rPr>
          <w:sz w:val="28"/>
        </w:rPr>
        <w:t xml:space="preserve">The price charged for quantities injected into Columbia storage will be the INSIDE FERC first of the month index for Columbia Gulf, Louisiana Onshore, plus the 100% load factor FT rate for FTS-2 to Rayne including fuel, plus the FT variable cost for FTS-1 including fuel to Leech, Kentucky, plus the SST variable cost including fuel to storage.  </w:t>
      </w:r>
    </w:p>
    <w:p>
      <w:pPr>
        <w:pStyle w:val="Normal"/>
        <w:numPr>
          <w:ilvl w:val="0"/>
          <w:numId w:val="2"/>
        </w:numPr>
        <w:rPr>
          <w:sz w:val="28"/>
        </w:rPr>
      </w:pPr>
      <w:r>
        <w:rPr>
          <w:sz w:val="28"/>
        </w:rPr>
        <w:t xml:space="preserve">The price charged for quantities injected into Tennessee storage will be the weighted average INSIDE FERC composite first of the month index for Tennessee, Zones 0 and 1 in proportion to Nashville’s Zone 0 and 1 FT entitlements (totaling 74,100 dt per day), plus applicable fuel and FT commodity costs.  </w:t>
      </w:r>
    </w:p>
    <w:p>
      <w:pPr>
        <w:pStyle w:val="Normal"/>
        <w:numPr>
          <w:ilvl w:val="0"/>
          <w:numId w:val="2"/>
        </w:numPr>
        <w:rPr>
          <w:sz w:val="28"/>
        </w:rPr>
      </w:pPr>
      <w:r>
        <w:rPr>
          <w:sz w:val="28"/>
        </w:rPr>
        <w:t>Injections to and withdrawals from Tennessee storage will be done on a pro rata basis using Nashville’s total storage capacity under both FS-MA and FS-PA. The asset manager will be permitted to bill Nashville up to 55,900 dt per day of injection quantities for Tennessee Gas Pipeline injections.</w:t>
      </w:r>
    </w:p>
    <w:p>
      <w:pPr>
        <w:pStyle w:val="Normal"/>
        <w:numPr>
          <w:ilvl w:val="0"/>
          <w:numId w:val="2"/>
        </w:numPr>
        <w:rPr>
          <w:sz w:val="28"/>
        </w:rPr>
      </w:pPr>
      <w:r>
        <w:rPr>
          <w:sz w:val="28"/>
        </w:rPr>
        <w:t xml:space="preserve">All applicable storage injection charges for CNG, Columbia and Tennessee will be paid by Nashville.  Nashville must be billed all storage injection costs by the fifteenth of the month following injection.  Invoices received after the fifteenth of the month for injections made during the previous month (paper or actual) will not be honored by Nashville. </w:t>
      </w:r>
    </w:p>
    <w:p>
      <w:pPr>
        <w:pStyle w:val="Normal"/>
        <w:numPr>
          <w:ilvl w:val="0"/>
          <w:numId w:val="2"/>
        </w:numPr>
        <w:rPr>
          <w:sz w:val="28"/>
        </w:rPr>
      </w:pPr>
      <w:r>
        <w:rPr>
          <w:sz w:val="28"/>
        </w:rPr>
        <w:t xml:space="preserve">All injections and withdrawals scheduled by the asset manager will adhere to existing storage ratchet requirements.  </w:t>
      </w:r>
    </w:p>
    <w:p>
      <w:pPr>
        <w:pStyle w:val="Normal"/>
        <w:numPr>
          <w:ilvl w:val="0"/>
          <w:numId w:val="2"/>
        </w:numPr>
        <w:rPr>
          <w:sz w:val="28"/>
        </w:rPr>
      </w:pPr>
      <w:r>
        <w:rPr>
          <w:sz w:val="28"/>
        </w:rPr>
        <w:t>Nashville will retain its local LNG for its own operational dispatching purposes.</w:t>
      </w:r>
    </w:p>
    <w:p>
      <w:pPr>
        <w:pStyle w:val="Normal"/>
        <w:rPr>
          <w:sz w:val="28"/>
        </w:rPr>
      </w:pPr>
      <w:r>
        <w:rPr>
          <w:sz w:val="28"/>
        </w:rPr>
      </w:r>
    </w:p>
    <w:p>
      <w:pPr>
        <w:pStyle w:val="Heading1"/>
        <w:ind w:hanging="0" w:start="0"/>
        <w:rPr/>
      </w:pPr>
      <w:r>
        <w:rPr/>
        <w:t>II. Winter Supply and Transportation</w:t>
      </w:r>
    </w:p>
    <w:p>
      <w:pPr>
        <w:pStyle w:val="Normal"/>
        <w:rPr/>
      </w:pPr>
      <w:r>
        <w:rPr/>
      </w:r>
    </w:p>
    <w:p>
      <w:pPr>
        <w:pStyle w:val="Normal"/>
        <w:rPr>
          <w:sz w:val="28"/>
        </w:rPr>
      </w:pPr>
      <w:r>
        <w:rPr>
          <w:sz w:val="28"/>
        </w:rPr>
        <w:t>As reflected on Attachment A, Nashville will assign all of its firm gas supply contracts to the selected bidder. Nashville also has four ten day, 10,000 dt per day, city gate delivery peaking contracts on Tennessee, available December through February.  All of the peaking contracts must be nominated by 10 a.m. Eastern Time the day prior to delivery.  The commodity cost for one of the peaking contracts (10,000 dts) is the first of the month INSIDE FERC index for Tennessee, Zone 1, plus the 100% load factor FT rate from zone 1 to zone 1 including fuel to Nashville’s city gate. The commodity cost for three of the peaking contracts (30,000 dts) is the Gas Daily Average for Tennessee, Zone 1, plus the 100% load factor FT rate from zone 1 to zone 1 including fuel to Nashville’s city gate.</w:t>
      </w:r>
    </w:p>
    <w:p>
      <w:pPr>
        <w:pStyle w:val="Normal"/>
        <w:rPr>
          <w:sz w:val="28"/>
        </w:rPr>
      </w:pPr>
      <w:r>
        <w:rPr>
          <w:sz w:val="28"/>
        </w:rPr>
      </w:r>
    </w:p>
    <w:p>
      <w:pPr>
        <w:pStyle w:val="Normal"/>
        <w:rPr>
          <w:sz w:val="28"/>
        </w:rPr>
      </w:pPr>
      <w:r>
        <w:rPr>
          <w:sz w:val="28"/>
        </w:rPr>
        <w:t>Nashville has the following supply contracts from November 1, 2000 through March 31, 2001:</w:t>
      </w:r>
    </w:p>
    <w:p>
      <w:pPr>
        <w:pStyle w:val="Normal"/>
        <w:rPr>
          <w:sz w:val="28"/>
        </w:rPr>
      </w:pPr>
      <w:r>
        <w:rPr>
          <w:sz w:val="28"/>
        </w:rPr>
      </w:r>
    </w:p>
    <w:tbl>
      <w:tblPr>
        <w:tblW w:w="9828" w:type="dxa"/>
        <w:jc w:val="start"/>
        <w:tblInd w:w="0" w:type="dxa"/>
        <w:tblLayout w:type="fixed"/>
        <w:tblCellMar>
          <w:top w:w="0" w:type="dxa"/>
          <w:start w:w="108" w:type="dxa"/>
          <w:bottom w:w="0" w:type="dxa"/>
          <w:end w:w="108" w:type="dxa"/>
        </w:tblCellMar>
      </w:tblPr>
      <w:tblGrid>
        <w:gridCol w:w="1728"/>
        <w:gridCol w:w="1890"/>
        <w:gridCol w:w="2250"/>
        <w:gridCol w:w="396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Pipeline</w:t>
            </w:r>
          </w:p>
        </w:tc>
        <w:tc>
          <w:tcPr>
            <w:tcW w:w="189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Zone/Leg</w:t>
            </w:r>
          </w:p>
        </w:tc>
        <w:tc>
          <w:tcPr>
            <w:tcW w:w="225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Delivered Quantity</w:t>
            </w:r>
          </w:p>
        </w:tc>
        <w:tc>
          <w:tcPr>
            <w:tcW w:w="396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Comments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Tennessee</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Zone 0 / 100 Leg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22,435</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Baseload</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Tennessee</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Zone 1 / 500 Leg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13,104</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Monthly Baseload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Tennessee</w:t>
            </w:r>
          </w:p>
        </w:tc>
        <w:tc>
          <w:tcPr>
            <w:tcW w:w="1890"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sz w:val="24"/>
              </w:rPr>
            </w:pPr>
            <w:r>
              <w:rPr>
                <w:b w:val="false"/>
                <w:sz w:val="24"/>
              </w:rPr>
              <w:t>Zone 1 / 800 Leg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23,461</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Monthly Baseload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Tennessee</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Zone 1 / 500 Leg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15,100</w:t>
            </w:r>
          </w:p>
        </w:tc>
        <w:tc>
          <w:tcPr>
            <w:tcW w:w="396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Daily Swing</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Columbia Gulf</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Mainline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5,000</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Monthly Baseload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Columbia Gulf</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Mainline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30,000</w:t>
            </w:r>
          </w:p>
        </w:tc>
        <w:tc>
          <w:tcPr>
            <w:tcW w:w="396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Monthly Baseload  </w:t>
            </w:r>
            <w:r>
              <w:rPr>
                <w:sz w:val="22"/>
              </w:rPr>
              <w:t>(12/01/00 – 2/28/01)</w:t>
            </w:r>
          </w:p>
        </w:tc>
      </w:tr>
    </w:tbl>
    <w:p>
      <w:pPr>
        <w:pStyle w:val="Normal"/>
        <w:rPr>
          <w:sz w:val="28"/>
        </w:rPr>
      </w:pPr>
      <w:r>
        <w:rPr>
          <w:sz w:val="28"/>
        </w:rPr>
      </w:r>
    </w:p>
    <w:p>
      <w:pPr>
        <w:pStyle w:val="BodyText"/>
        <w:rPr/>
      </w:pPr>
      <w:r>
        <w:rPr/>
        <w:t xml:space="preserve">During the winter period Nashville shall have the right to nominate up to 59,000 dt per day of monthly baseload quantities on Tennessee, 5,000 dt per day on Columbia during November and March, and 35,000 dt per day on Columbia December through February.  The Tennessee contracts listed above are priced at the appropriate Tennessee INSIDE FERC first of the month index price listing.  The Columbia Gulf contracts are priced at the INSIDE FERC Louisiana Onshore posting, plus the 100% load factor FT rate for FTS-2, plus fuel. </w:t>
      </w:r>
    </w:p>
    <w:p>
      <w:pPr>
        <w:pStyle w:val="BodyText"/>
        <w:rPr/>
      </w:pPr>
      <w:r>
        <w:rPr/>
      </w:r>
    </w:p>
    <w:p>
      <w:pPr>
        <w:pStyle w:val="Normal"/>
        <w:rPr>
          <w:sz w:val="28"/>
        </w:rPr>
      </w:pPr>
      <w:r>
        <w:rPr>
          <w:sz w:val="28"/>
        </w:rPr>
        <w:t xml:space="preserve">Nashville’s 15,100 dt per day Tennessee swing supply contract, to be nominated by 10:00 a.m. the day prior to delivery, is priced at the INSIDE FERC Tennessee Zone 1 first of the month index.  Nashville will notify the asset manager prior to the first of the month of its intended base load quantities.  </w:t>
      </w:r>
    </w:p>
    <w:p>
      <w:pPr>
        <w:pStyle w:val="Normal"/>
        <w:rPr>
          <w:sz w:val="28"/>
        </w:rPr>
      </w:pPr>
      <w:r>
        <w:rPr>
          <w:sz w:val="28"/>
        </w:rPr>
      </w:r>
    </w:p>
    <w:p>
      <w:pPr>
        <w:pStyle w:val="Normal"/>
        <w:rPr>
          <w:sz w:val="28"/>
        </w:rPr>
      </w:pPr>
      <w:r>
        <w:rPr>
          <w:sz w:val="28"/>
        </w:rPr>
        <w:t xml:space="preserve">All Tennessee quantities nominated to Nashville’s city gate (baseload and swing) will be priced by the asset manager to Nashville at the weighted average INSIDE FERC composite first of the month index for Tennessee, Zones 0 and 1 in proportion to Nashville’s Zone 0 and 1 FT entitlements (totaling 74,100 dt per day), plus applicable fuel and FT commodity costs.  </w:t>
      </w:r>
    </w:p>
    <w:p>
      <w:pPr>
        <w:pStyle w:val="Normal"/>
        <w:rPr>
          <w:sz w:val="28"/>
        </w:rPr>
      </w:pPr>
      <w:r>
        <w:rPr>
          <w:sz w:val="28"/>
        </w:rPr>
      </w:r>
    </w:p>
    <w:p>
      <w:pPr>
        <w:pStyle w:val="Normal"/>
        <w:rPr>
          <w:sz w:val="28"/>
        </w:rPr>
      </w:pPr>
      <w:r>
        <w:rPr>
          <w:sz w:val="28"/>
        </w:rPr>
        <w:t>Nashville currently has a discounted rate agreement with Tennessee for 55,900 dt per day of Zone1 100 leg capacity that it schedules on a primary basis to make deliveries from its Tennessee storage to the Nashville’s city gate (See Exhibit A).  Under the discount agreement, Nashville may also schedule this capacity on a secondary basis to alternate receipt or delivery points, but will be assessed the maximum allowable FT-A reservation and commodity rates for that month.  Nashville will retain the right to schedule this capacity on a secondary basis and will pay the additional demand and commodity costs in those months.  The bidder may use this capacity on a secondary basis but will be responsible for paying any additional reservation and commodity costs, unless requested by Nashville during that month.</w:t>
      </w:r>
    </w:p>
    <w:p>
      <w:pPr>
        <w:pStyle w:val="Normal"/>
        <w:rPr>
          <w:sz w:val="28"/>
        </w:rPr>
      </w:pPr>
      <w:r>
        <w:rPr>
          <w:sz w:val="28"/>
        </w:rPr>
      </w:r>
    </w:p>
    <w:p>
      <w:pPr>
        <w:pStyle w:val="Normal"/>
        <w:rPr>
          <w:sz w:val="28"/>
        </w:rPr>
      </w:pPr>
      <w:r>
        <w:rPr>
          <w:sz w:val="28"/>
        </w:rPr>
        <w:t>Nashville shall have the right to sell on a daily basis to the asset manager any base load or swing quantities.  Nashville will sell its Tennessee quantities to the asset manager at pooling points on a pro rata basis in proportion to Nashville’s Zone 0 and Zone 1 FT entitlements.  The sales price Nashville will receive for such day sales is the Gas Daily Tennessee weighted average Zone 0 and Zone 1 index, in proportion to Nashville’s Zone 0 and Zone 1 FT entitlements. The Gas Daily Zone 1 index price will be the lower of the Tennessee 500 or 800 lines.</w:t>
      </w:r>
    </w:p>
    <w:p>
      <w:pPr>
        <w:pStyle w:val="Normal"/>
        <w:rPr>
          <w:sz w:val="28"/>
        </w:rPr>
      </w:pPr>
      <w:r>
        <w:rPr>
          <w:sz w:val="28"/>
        </w:rPr>
      </w:r>
    </w:p>
    <w:p>
      <w:pPr>
        <w:pStyle w:val="Normal"/>
        <w:rPr>
          <w:sz w:val="28"/>
        </w:rPr>
      </w:pPr>
      <w:r>
        <w:rPr>
          <w:sz w:val="28"/>
        </w:rPr>
        <w:t xml:space="preserve">Unless nominated to zero prior to the first of the month nomination deadline, Nashville will baseload its Columbia Gulf mainline supply. For Columbia Gulf purchases made at the mainline pool, Nashville will pay the asset manager the INSIDE FERC Louisiana Onshore posting, plus the 100% load factor FT rate for FTS-2, plus fuel. For Columbia Gulf deliveries made at Nashville’s city gate, Nashville will pay the asset manager the INSIDE FERC Louisiana Onshore posting, plus the 100% load factor FT rate for FTS-2 plus fuel, plus the FTS-1 variable FT cost including fuel. For Columbia Gulf deliveries made to storage, Nashville will pay the asset manager the amount described in Section I on Storage.  </w:t>
      </w:r>
    </w:p>
    <w:p>
      <w:pPr>
        <w:pStyle w:val="Normal"/>
        <w:rPr>
          <w:sz w:val="28"/>
        </w:rPr>
      </w:pPr>
      <w:r>
        <w:rPr>
          <w:sz w:val="28"/>
        </w:rPr>
      </w:r>
    </w:p>
    <w:p>
      <w:pPr>
        <w:pStyle w:val="Normal"/>
        <w:rPr>
          <w:sz w:val="28"/>
        </w:rPr>
      </w:pPr>
      <w:r>
        <w:rPr>
          <w:sz w:val="28"/>
        </w:rPr>
        <w:t>Nashville shall have the right to sell on a daily basis to the asset manager its Columbia base load quantities at either the mainline pool or Leech, Kentucky points.  For sales made at the mainline pool the asset manager will pay Nashville the Gas Daily Louisiana Onshore South, Columbia Mainline index.  For sales made at Leech the asset manager will pay Nashville the Gas Daily Columbia Appalachia index.</w:t>
      </w:r>
    </w:p>
    <w:p>
      <w:pPr>
        <w:pStyle w:val="Normal"/>
        <w:rPr>
          <w:sz w:val="28"/>
        </w:rPr>
      </w:pPr>
      <w:r>
        <w:rPr>
          <w:sz w:val="28"/>
        </w:rPr>
        <w:t xml:space="preserve"> </w:t>
      </w:r>
    </w:p>
    <w:p>
      <w:pPr>
        <w:pStyle w:val="Heading1"/>
        <w:ind w:hanging="0" w:start="0"/>
        <w:rPr/>
      </w:pPr>
      <w:r>
        <w:rPr/>
        <w:t xml:space="preserve">III. Summer Supply and Transportation  </w:t>
      </w:r>
    </w:p>
    <w:p>
      <w:pPr>
        <w:pStyle w:val="Normal"/>
        <w:rPr/>
      </w:pPr>
      <w:r>
        <w:rPr/>
      </w:r>
    </w:p>
    <w:p>
      <w:pPr>
        <w:pStyle w:val="Heading2"/>
        <w:ind w:hanging="0" w:start="0"/>
        <w:rPr/>
      </w:pPr>
      <w:r>
        <w:rPr/>
        <w:t>Nashville has the following base load supply contracts during the summer period:</w:t>
      </w:r>
    </w:p>
    <w:p>
      <w:pPr>
        <w:pStyle w:val="Normal"/>
        <w:rPr/>
      </w:pPr>
      <w:r>
        <w:rPr/>
      </w:r>
    </w:p>
    <w:tbl>
      <w:tblPr>
        <w:tblW w:w="8658" w:type="dxa"/>
        <w:jc w:val="start"/>
        <w:tblInd w:w="0" w:type="dxa"/>
        <w:tblLayout w:type="fixed"/>
        <w:tblCellMar>
          <w:top w:w="0" w:type="dxa"/>
          <w:start w:w="108" w:type="dxa"/>
          <w:bottom w:w="0" w:type="dxa"/>
          <w:end w:w="108" w:type="dxa"/>
        </w:tblCellMar>
      </w:tblPr>
      <w:tblGrid>
        <w:gridCol w:w="1728"/>
        <w:gridCol w:w="1980"/>
        <w:gridCol w:w="2250"/>
        <w:gridCol w:w="27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Pipeline</w:t>
            </w:r>
          </w:p>
        </w:tc>
        <w:tc>
          <w:tcPr>
            <w:tcW w:w="198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Zone/Leg</w:t>
            </w:r>
          </w:p>
        </w:tc>
        <w:tc>
          <w:tcPr>
            <w:tcW w:w="225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Delivered Quantity</w:t>
            </w:r>
          </w:p>
        </w:tc>
        <w:tc>
          <w:tcPr>
            <w:tcW w:w="2700" w:type="dxa"/>
            <w:tcBorders>
              <w:top w:val="single" w:sz="4" w:space="0" w:color="000000"/>
              <w:start w:val="single" w:sz="4" w:space="0" w:color="000000"/>
              <w:bottom w:val="single" w:sz="4" w:space="0" w:color="000000"/>
              <w:end w:val="single" w:sz="4" w:space="0" w:color="000000"/>
            </w:tcBorders>
          </w:tcPr>
          <w:p>
            <w:pPr>
              <w:pStyle w:val="Normal"/>
              <w:rPr>
                <w:b/>
                <w:sz w:val="24"/>
              </w:rPr>
            </w:pPr>
            <w:r>
              <w:rPr>
                <w:b/>
                <w:sz w:val="24"/>
              </w:rPr>
              <w:t>Comments</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Tennessee</w:t>
            </w:r>
          </w:p>
        </w:tc>
        <w:tc>
          <w:tcPr>
            <w:tcW w:w="198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Zone 1 / 500 Leg</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25,635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Baseload</w:t>
            </w:r>
          </w:p>
        </w:tc>
      </w:tr>
      <w:tr>
        <w:trPr/>
        <w:tc>
          <w:tcPr>
            <w:tcW w:w="1728" w:type="dxa"/>
            <w:tcBorders>
              <w:top w:val="single" w:sz="4" w:space="0" w:color="000000"/>
              <w:start w:val="single" w:sz="4" w:space="0" w:color="000000"/>
              <w:end w:val="single" w:sz="4" w:space="0" w:color="000000"/>
            </w:tcBorders>
          </w:tcPr>
          <w:p>
            <w:pPr>
              <w:pStyle w:val="Normal"/>
              <w:rPr>
                <w:sz w:val="24"/>
              </w:rPr>
            </w:pPr>
            <w:r>
              <w:rPr>
                <w:sz w:val="24"/>
              </w:rPr>
              <w:t>Tennessee</w:t>
            </w:r>
          </w:p>
        </w:tc>
        <w:tc>
          <w:tcPr>
            <w:tcW w:w="1980" w:type="dxa"/>
            <w:tcBorders>
              <w:top w:val="single" w:sz="4" w:space="0" w:color="000000"/>
              <w:start w:val="single" w:sz="4" w:space="0" w:color="000000"/>
              <w:end w:val="single" w:sz="4" w:space="0" w:color="000000"/>
            </w:tcBorders>
          </w:tcPr>
          <w:p>
            <w:pPr>
              <w:pStyle w:val="Normal"/>
              <w:rPr>
                <w:sz w:val="24"/>
              </w:rPr>
            </w:pPr>
            <w:r>
              <w:rPr>
                <w:sz w:val="24"/>
              </w:rPr>
              <w:t>Zone 1 / 800 Leg</w:t>
            </w:r>
          </w:p>
        </w:tc>
        <w:tc>
          <w:tcPr>
            <w:tcW w:w="2250" w:type="dxa"/>
            <w:tcBorders>
              <w:top w:val="single" w:sz="4" w:space="0" w:color="000000"/>
              <w:start w:val="single" w:sz="4" w:space="0" w:color="000000"/>
              <w:end w:val="single" w:sz="4" w:space="0" w:color="000000"/>
            </w:tcBorders>
          </w:tcPr>
          <w:p>
            <w:pPr>
              <w:pStyle w:val="Normal"/>
              <w:jc w:val="center"/>
              <w:rPr>
                <w:sz w:val="24"/>
              </w:rPr>
            </w:pPr>
            <w:r>
              <w:rPr>
                <w:sz w:val="24"/>
              </w:rPr>
              <w:t>6,321</w:t>
            </w:r>
          </w:p>
        </w:tc>
        <w:tc>
          <w:tcPr>
            <w:tcW w:w="2700" w:type="dxa"/>
            <w:tcBorders>
              <w:top w:val="single" w:sz="4" w:space="0" w:color="000000"/>
              <w:start w:val="single" w:sz="4" w:space="0" w:color="000000"/>
              <w:end w:val="single" w:sz="4" w:space="0" w:color="000000"/>
            </w:tcBorders>
          </w:tcPr>
          <w:p>
            <w:pPr>
              <w:pStyle w:val="Normal"/>
              <w:rPr>
                <w:sz w:val="24"/>
              </w:rPr>
            </w:pPr>
            <w:r>
              <w:rPr>
                <w:sz w:val="24"/>
              </w:rPr>
              <w:t xml:space="preserve">Monthly Baseload </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Columbia Gulf</w:t>
            </w:r>
          </w:p>
        </w:tc>
        <w:tc>
          <w:tcPr>
            <w:tcW w:w="1980" w:type="dxa"/>
            <w:tcBorders>
              <w:top w:val="single" w:sz="4" w:space="0" w:color="000000"/>
              <w:start w:val="single" w:sz="4" w:space="0" w:color="000000"/>
              <w:bottom w:val="single" w:sz="4" w:space="0" w:color="000000"/>
              <w:end w:val="single" w:sz="4" w:space="0" w:color="000000"/>
            </w:tcBorders>
          </w:tcPr>
          <w:p>
            <w:pPr>
              <w:pStyle w:val="Heading1"/>
              <w:ind w:hanging="0" w:start="0"/>
              <w:rPr>
                <w:b w:val="false"/>
                <w:sz w:val="24"/>
              </w:rPr>
            </w:pPr>
            <w:r>
              <w:rPr>
                <w:b w:val="false"/>
                <w:sz w:val="24"/>
              </w:rPr>
              <w:t>Mainline</w:t>
            </w:r>
          </w:p>
        </w:tc>
        <w:tc>
          <w:tcPr>
            <w:tcW w:w="225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4,601</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Monthly Baseload </w:t>
            </w:r>
          </w:p>
        </w:tc>
      </w:tr>
      <w:tr>
        <w:trPr/>
        <w:tc>
          <w:tcPr>
            <w:tcW w:w="1728" w:type="dxa"/>
            <w:tcBorders/>
          </w:tcPr>
          <w:p>
            <w:pPr>
              <w:pStyle w:val="Normal"/>
              <w:snapToGrid w:val="false"/>
              <w:rPr>
                <w:sz w:val="10"/>
              </w:rPr>
            </w:pPr>
            <w:r>
              <w:rPr>
                <w:sz w:val="10"/>
              </w:rPr>
            </w:r>
          </w:p>
        </w:tc>
        <w:tc>
          <w:tcPr>
            <w:tcW w:w="1980" w:type="dxa"/>
            <w:tcBorders/>
          </w:tcPr>
          <w:p>
            <w:pPr>
              <w:pStyle w:val="Heading1"/>
              <w:snapToGrid w:val="false"/>
              <w:ind w:hanging="0" w:start="0"/>
              <w:rPr>
                <w:b w:val="false"/>
                <w:sz w:val="10"/>
              </w:rPr>
            </w:pPr>
            <w:r>
              <w:rPr>
                <w:b w:val="false"/>
                <w:sz w:val="10"/>
              </w:rPr>
            </w:r>
          </w:p>
        </w:tc>
        <w:tc>
          <w:tcPr>
            <w:tcW w:w="2250" w:type="dxa"/>
            <w:tcBorders/>
          </w:tcPr>
          <w:p>
            <w:pPr>
              <w:pStyle w:val="Normal"/>
              <w:snapToGrid w:val="false"/>
              <w:jc w:val="center"/>
              <w:rPr>
                <w:b w:val="false"/>
                <w:sz w:val="10"/>
              </w:rPr>
            </w:pPr>
            <w:r>
              <w:rPr>
                <w:b w:val="false"/>
                <w:sz w:val="10"/>
              </w:rPr>
            </w:r>
          </w:p>
        </w:tc>
        <w:tc>
          <w:tcPr>
            <w:tcW w:w="2700" w:type="dxa"/>
            <w:tcBorders/>
          </w:tcPr>
          <w:p>
            <w:pPr>
              <w:pStyle w:val="Normal"/>
              <w:snapToGrid w:val="false"/>
              <w:rPr>
                <w:sz w:val="10"/>
              </w:rPr>
            </w:pPr>
            <w:r>
              <w:rPr>
                <w:sz w:val="10"/>
              </w:rPr>
            </w:r>
          </w:p>
        </w:tc>
      </w:tr>
    </w:tbl>
    <w:p>
      <w:pPr>
        <w:pStyle w:val="Heading2"/>
        <w:ind w:hanging="0" w:start="0"/>
        <w:rPr>
          <w:sz w:val="20"/>
        </w:rPr>
      </w:pPr>
      <w:r>
        <w:rPr>
          <w:sz w:val="20"/>
        </w:rPr>
      </w:r>
    </w:p>
    <w:p>
      <w:pPr>
        <w:pStyle w:val="Heading2"/>
        <w:ind w:hanging="0" w:start="0"/>
        <w:rPr/>
      </w:pPr>
      <w:r>
        <w:rPr/>
        <w:t xml:space="preserve">Nashville shall have the right to nominate up to 50,000 dt per day of monthly baseload quantities on Tennessee during the summer period.  All baseload purchases will be priced by the asset manager to Nashville at the first of the month pricing formulas described in the winter supply and transportation section. Nashville currently has no swing supply rights under contract for the summer period. </w:t>
      </w:r>
    </w:p>
    <w:p>
      <w:pPr>
        <w:pStyle w:val="Heading2"/>
        <w:ind w:hanging="0" w:start="0"/>
        <w:rPr/>
      </w:pPr>
      <w:r>
        <w:rPr/>
      </w:r>
    </w:p>
    <w:p>
      <w:pPr>
        <w:pStyle w:val="Heading2"/>
        <w:ind w:hanging="0" w:start="0"/>
        <w:rPr/>
      </w:pPr>
      <w:r>
        <w:rPr/>
        <w:t>In addition to its baseload purchases, Nashville shall have the right during the summer (April through October) to supplement its city gate needs with daily spot purchases from the asset manager up to its forward haul FT entitlement on Tennessee, priced at Gas Daily on a pro rata basis in proportion to Nashville’s Zone 0 and Zone 1 FT entitlements.  The Gas Daily Zone 1 price paid will be the higher of the Tennessee 500 or 800 lines.  Nashville retains the right to nominate quantities to and from storage for balancing and operational purposes, but such injections and withdrawals will not add to or subtract from the required balances to be injected during the summer period to reach the storage inventory goals.</w:t>
      </w:r>
    </w:p>
    <w:p>
      <w:pPr>
        <w:pStyle w:val="Normal"/>
        <w:rPr/>
      </w:pPr>
      <w:r>
        <w:rPr/>
      </w:r>
    </w:p>
    <w:p>
      <w:pPr>
        <w:pStyle w:val="Normal"/>
        <w:rPr>
          <w:sz w:val="28"/>
        </w:rPr>
      </w:pPr>
      <w:r>
        <w:rPr>
          <w:sz w:val="28"/>
        </w:rPr>
        <w:t xml:space="preserve">Nashville shall have the right to sell on a daily basis to the asset manager any quantities nominated prior to the first of the month under the same sale back provisions detailed in the winter supply and transportation section. </w:t>
      </w:r>
    </w:p>
    <w:p>
      <w:pPr>
        <w:pStyle w:val="Normal"/>
        <w:rPr>
          <w:sz w:val="28"/>
        </w:rPr>
      </w:pPr>
      <w:r>
        <w:rPr>
          <w:sz w:val="28"/>
        </w:rPr>
      </w:r>
    </w:p>
    <w:p>
      <w:pPr>
        <w:pStyle w:val="Heading2"/>
        <w:ind w:hanging="0" w:start="0"/>
        <w:rPr>
          <w:b/>
        </w:rPr>
      </w:pPr>
      <w:r>
        <w:rPr>
          <w:b/>
        </w:rPr>
        <w:t>IV. Documentation</w:t>
      </w:r>
    </w:p>
    <w:p>
      <w:pPr>
        <w:pStyle w:val="Normal"/>
        <w:rPr>
          <w:b/>
        </w:rPr>
      </w:pPr>
      <w:r>
        <w:rPr>
          <w:b/>
        </w:rPr>
      </w:r>
    </w:p>
    <w:p>
      <w:pPr>
        <w:pStyle w:val="Normal"/>
        <w:rPr>
          <w:sz w:val="28"/>
        </w:rPr>
      </w:pPr>
      <w:r>
        <w:rPr>
          <w:sz w:val="28"/>
        </w:rPr>
        <w:t xml:space="preserve">During the winter period the asset manager will provide Nashville a daily report detailing the previous day’s injection, withdrawal, sale and purchase activity requested by Nashville, including current storage inventories (paper not actual).  This report will be provided weekly during the summer period. </w:t>
      </w:r>
    </w:p>
    <w:p>
      <w:pPr>
        <w:pStyle w:val="Normal"/>
        <w:rPr>
          <w:b/>
          <w:sz w:val="28"/>
        </w:rPr>
      </w:pPr>
      <w:r>
        <w:rPr>
          <w:b/>
          <w:sz w:val="28"/>
        </w:rPr>
      </w:r>
    </w:p>
    <w:p>
      <w:pPr>
        <w:pStyle w:val="Heading2"/>
        <w:ind w:hanging="0" w:start="0"/>
        <w:rPr>
          <w:b/>
        </w:rPr>
      </w:pPr>
      <w:r>
        <w:rPr>
          <w:b/>
        </w:rPr>
        <w:t>V. Asset Management Bid</w:t>
      </w:r>
    </w:p>
    <w:p>
      <w:pPr>
        <w:pStyle w:val="Normal"/>
        <w:rPr>
          <w:b/>
        </w:rPr>
      </w:pPr>
      <w:r>
        <w:rPr>
          <w:b/>
        </w:rPr>
      </w:r>
    </w:p>
    <w:p>
      <w:pPr>
        <w:pStyle w:val="Heading2"/>
        <w:ind w:hanging="0" w:start="0"/>
        <w:rPr/>
      </w:pPr>
      <w:r>
        <w:rPr/>
        <w:t>Please provide Nashville with the bid, due no later than October 4, 2000, you are willing to pay for the right to manage Nashville’s supply and capacity assets in accordance with the terms and conditions described above.  Please contact Keith Maust at (704) 364-3483, ext. 6485 or Jim Jessee at ext. 6490 with any questions concerning the asset management plan.  Thank you for your consideration.</w:t>
      </w:r>
    </w:p>
    <w:p>
      <w:pPr>
        <w:pStyle w:val="Heading2"/>
        <w:ind w:hanging="0" w:start="0"/>
        <w:rPr/>
      </w:pPr>
      <w:r>
        <w:rPr/>
      </w:r>
    </w:p>
    <w:p>
      <w:pPr>
        <w:pStyle w:val="Heading2"/>
        <w:ind w:hanging="0" w:start="0"/>
        <w:rPr/>
      </w:pPr>
      <w:r>
        <w:rPr/>
        <w:t>Sincerely,</w:t>
      </w:r>
    </w:p>
    <w:p>
      <w:pPr>
        <w:pStyle w:val="Heading2"/>
        <w:ind w:hanging="0" w:start="0"/>
        <w:rPr/>
      </w:pPr>
      <w:r>
        <w:rPr/>
      </w:r>
    </w:p>
    <w:p>
      <w:pPr>
        <w:pStyle w:val="Heading2"/>
        <w:ind w:hanging="0" w:start="0"/>
        <w:rPr/>
      </w:pPr>
      <w:r>
        <w:rPr/>
      </w:r>
    </w:p>
    <w:p>
      <w:pPr>
        <w:pStyle w:val="Heading2"/>
        <w:ind w:hanging="0" w:start="0"/>
        <w:rPr/>
      </w:pPr>
      <w:r>
        <w:rPr/>
        <w:t>Keith P. Maust</w:t>
      </w:r>
    </w:p>
    <w:p>
      <w:pPr>
        <w:pStyle w:val="Heading2"/>
        <w:ind w:hanging="0" w:start="0"/>
        <w:rPr/>
      </w:pPr>
      <w:r>
        <w:rPr/>
        <w:t xml:space="preserve">Director-Gas Supply and Wholesale Marketing     </w:t>
      </w:r>
    </w:p>
    <w:sectPr>
      <w:headerReference w:type="default" r:id="rId2"/>
      <w:footerReference w:type="default" r:id="rId3"/>
      <w:type w:val="nextPage"/>
      <w:pgSz w:w="12240" w:h="15840"/>
      <w:pgMar w:left="1800" w:right="1800" w:gutter="0" w:header="720" w:top="1296"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Privileged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outlineLvl w:val="2"/>
    </w:pPr>
    <w:rPr>
      <w:sz w:val="28"/>
      <w:u w:val="single"/>
    </w:rPr>
  </w:style>
  <w:style w:type="paragraph" w:styleId="Heading4">
    <w:name w:val="heading 4"/>
    <w:basedOn w:val="Normal"/>
    <w:next w:val="Normal"/>
    <w:qFormat/>
    <w:pPr>
      <w:keepNext w:val="true"/>
      <w:numPr>
        <w:ilvl w:val="3"/>
        <w:numId w:val="1"/>
      </w:numPr>
      <w:outlineLvl w:val="3"/>
    </w:pPr>
    <w:rPr>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2000-09-21T17:53:00Z</dcterms:created>
  <dc:creator>Piedmont Natural Gas</dc:creator>
  <dc:description/>
  <dc:language>en-CA</dc:language>
  <cp:lastModifiedBy>Piedmont Natural Gas</cp:lastModifiedBy>
  <cp:lastPrinted>2000-07-31T14:50:00Z</cp:lastPrinted>
  <dcterms:modified xsi:type="dcterms:W3CDTF">2000-09-21T17:53:00Z</dcterms:modified>
  <cp:revision>2</cp:revision>
  <dc:subject/>
  <dc:title>Dear Supplier:</dc:title>
</cp:coreProperties>
</file>